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C930" w14:textId="5647CA11" w:rsidR="00B2337C" w:rsidRPr="00E87162" w:rsidRDefault="00D1712E" w:rsidP="00381CC6">
      <w:pPr>
        <w:ind w:left="284" w:right="-227"/>
        <w:jc w:val="left"/>
      </w:pPr>
      <w:r w:rsidRPr="00E87162">
        <w:rPr>
          <w:noProof/>
        </w:rPr>
        <w:drawing>
          <wp:inline distT="0" distB="0" distL="0" distR="0" wp14:anchorId="1B1FDAC0" wp14:editId="2A8D0DBA">
            <wp:extent cx="2374900" cy="9235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ET logo left_300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9444" cy="944783"/>
                    </a:xfrm>
                    <a:prstGeom prst="rect">
                      <a:avLst/>
                    </a:prstGeom>
                  </pic:spPr>
                </pic:pic>
              </a:graphicData>
            </a:graphic>
          </wp:inline>
        </w:drawing>
      </w:r>
    </w:p>
    <w:p w14:paraId="30E90317" w14:textId="77777777" w:rsidR="00B2337C" w:rsidRPr="00E87162" w:rsidRDefault="00B2337C" w:rsidP="00381CC6">
      <w:pPr>
        <w:ind w:left="284" w:right="-227"/>
        <w:jc w:val="left"/>
      </w:pPr>
    </w:p>
    <w:p w14:paraId="595232D7" w14:textId="77777777" w:rsidR="001029DB" w:rsidRDefault="001029DB" w:rsidP="00381CC6">
      <w:pPr>
        <w:ind w:left="284" w:right="-227"/>
        <w:jc w:val="left"/>
        <w:rPr>
          <w:sz w:val="44"/>
          <w:szCs w:val="44"/>
        </w:rPr>
      </w:pPr>
    </w:p>
    <w:p w14:paraId="4BF388C8" w14:textId="77777777" w:rsidR="001029DB" w:rsidRDefault="001029DB" w:rsidP="00381CC6">
      <w:pPr>
        <w:ind w:left="284" w:right="-227"/>
        <w:jc w:val="left"/>
        <w:rPr>
          <w:sz w:val="44"/>
          <w:szCs w:val="44"/>
        </w:rPr>
      </w:pPr>
    </w:p>
    <w:p w14:paraId="67604276" w14:textId="41754C0E" w:rsidR="00E87162" w:rsidRPr="001029DB" w:rsidRDefault="00E87162" w:rsidP="00381CC6">
      <w:pPr>
        <w:ind w:left="284" w:right="-227"/>
        <w:jc w:val="left"/>
        <w:rPr>
          <w:sz w:val="44"/>
          <w:szCs w:val="44"/>
        </w:rPr>
      </w:pPr>
      <w:r w:rsidRPr="001029DB">
        <w:rPr>
          <w:sz w:val="44"/>
          <w:szCs w:val="44"/>
        </w:rPr>
        <w:t>Candidate Brief</w:t>
      </w:r>
    </w:p>
    <w:p w14:paraId="1C1222E2" w14:textId="7431A9B3" w:rsidR="00E87162" w:rsidRPr="001029DB" w:rsidRDefault="00E87162" w:rsidP="00381CC6">
      <w:pPr>
        <w:ind w:left="284" w:right="-227"/>
        <w:jc w:val="left"/>
        <w:rPr>
          <w:sz w:val="44"/>
          <w:szCs w:val="44"/>
        </w:rPr>
      </w:pPr>
      <w:r w:rsidRPr="001029DB">
        <w:rPr>
          <w:sz w:val="44"/>
          <w:szCs w:val="44"/>
        </w:rPr>
        <w:t>Appointment of Trustees for the</w:t>
      </w:r>
    </w:p>
    <w:p w14:paraId="72E2A9E4" w14:textId="7C9C87C9" w:rsidR="00E87162" w:rsidRPr="001029DB" w:rsidRDefault="00E87162" w:rsidP="00381CC6">
      <w:pPr>
        <w:ind w:left="284" w:right="-227"/>
        <w:jc w:val="left"/>
        <w:rPr>
          <w:sz w:val="44"/>
          <w:szCs w:val="44"/>
        </w:rPr>
      </w:pPr>
      <w:r w:rsidRPr="001029DB">
        <w:rPr>
          <w:sz w:val="44"/>
          <w:szCs w:val="44"/>
        </w:rPr>
        <w:t>Armed Forces Education Trust</w:t>
      </w:r>
    </w:p>
    <w:p w14:paraId="2FD91F37" w14:textId="77777777" w:rsidR="00E87162" w:rsidRPr="001029DB" w:rsidRDefault="00E87162" w:rsidP="00381CC6">
      <w:pPr>
        <w:ind w:left="284" w:right="-227"/>
        <w:jc w:val="left"/>
        <w:rPr>
          <w:sz w:val="44"/>
          <w:szCs w:val="44"/>
        </w:rPr>
      </w:pPr>
    </w:p>
    <w:p w14:paraId="0566F2DE" w14:textId="083996C1" w:rsidR="00B2337C" w:rsidRPr="001029DB" w:rsidRDefault="005166B8" w:rsidP="00381CC6">
      <w:pPr>
        <w:ind w:left="284" w:right="-227"/>
        <w:jc w:val="left"/>
        <w:rPr>
          <w:sz w:val="44"/>
          <w:szCs w:val="44"/>
        </w:rPr>
      </w:pPr>
      <w:r>
        <w:rPr>
          <w:sz w:val="44"/>
          <w:szCs w:val="44"/>
        </w:rPr>
        <w:t>October</w:t>
      </w:r>
      <w:r w:rsidR="00E87162" w:rsidRPr="001029DB">
        <w:rPr>
          <w:sz w:val="44"/>
          <w:szCs w:val="44"/>
        </w:rPr>
        <w:t xml:space="preserve"> 20</w:t>
      </w:r>
      <w:r w:rsidR="00615FD3">
        <w:rPr>
          <w:sz w:val="44"/>
          <w:szCs w:val="44"/>
        </w:rPr>
        <w:t>2</w:t>
      </w:r>
      <w:r>
        <w:rPr>
          <w:sz w:val="44"/>
          <w:szCs w:val="44"/>
        </w:rPr>
        <w:t>3</w:t>
      </w:r>
    </w:p>
    <w:p w14:paraId="597FE160" w14:textId="77777777" w:rsidR="00FD4992" w:rsidRPr="001029DB" w:rsidRDefault="00FD4992" w:rsidP="00381CC6">
      <w:pPr>
        <w:ind w:left="284" w:right="-227"/>
        <w:jc w:val="left"/>
        <w:rPr>
          <w:sz w:val="44"/>
          <w:szCs w:val="44"/>
        </w:rPr>
      </w:pPr>
    </w:p>
    <w:p w14:paraId="0C4E9518" w14:textId="77777777" w:rsidR="00B2337C" w:rsidRPr="00E87162" w:rsidRDefault="00B2337C" w:rsidP="00381CC6">
      <w:pPr>
        <w:ind w:left="284" w:right="-227"/>
        <w:jc w:val="left"/>
      </w:pPr>
    </w:p>
    <w:p w14:paraId="3DBA8433" w14:textId="77777777" w:rsidR="00B2337C" w:rsidRPr="00E87162" w:rsidRDefault="00B2337C" w:rsidP="00381CC6">
      <w:pPr>
        <w:ind w:left="284" w:right="-227"/>
        <w:jc w:val="left"/>
      </w:pPr>
      <w:r w:rsidRPr="00E87162">
        <w:br w:type="page"/>
      </w:r>
    </w:p>
    <w:sdt>
      <w:sdtPr>
        <w:rPr>
          <w:rFonts w:ascii="Roboto Slab" w:eastAsiaTheme="minorHAnsi" w:hAnsi="Roboto Slab" w:cstheme="minorBidi"/>
          <w:caps w:val="0"/>
          <w:color w:val="auto"/>
          <w:sz w:val="22"/>
          <w:szCs w:val="22"/>
          <w:lang w:val="en-GB"/>
        </w:rPr>
        <w:id w:val="999697633"/>
        <w:docPartObj>
          <w:docPartGallery w:val="Table of Contents"/>
          <w:docPartUnique/>
        </w:docPartObj>
      </w:sdtPr>
      <w:sdtEndPr>
        <w:rPr>
          <w:noProof/>
          <w:sz w:val="20"/>
          <w:szCs w:val="20"/>
        </w:rPr>
      </w:sdtEndPr>
      <w:sdtContent>
        <w:p w14:paraId="27207B71" w14:textId="77777777" w:rsidR="00975CBE" w:rsidRDefault="00975CBE" w:rsidP="00381CC6">
          <w:pPr>
            <w:pStyle w:val="TOCHeading"/>
            <w:ind w:left="284" w:right="-227"/>
            <w:jc w:val="left"/>
            <w:rPr>
              <w:rFonts w:ascii="Roboto Slab" w:eastAsiaTheme="minorHAnsi" w:hAnsi="Roboto Slab" w:cstheme="minorBidi"/>
              <w:caps w:val="0"/>
              <w:color w:val="auto"/>
              <w:sz w:val="22"/>
              <w:szCs w:val="22"/>
              <w:lang w:val="en-GB"/>
            </w:rPr>
          </w:pPr>
        </w:p>
        <w:p w14:paraId="55658103" w14:textId="77777777" w:rsidR="00975CBE" w:rsidRDefault="00975CBE" w:rsidP="00381CC6">
          <w:pPr>
            <w:pStyle w:val="TOCHeading"/>
            <w:ind w:left="284" w:right="-227"/>
            <w:jc w:val="left"/>
            <w:rPr>
              <w:rFonts w:ascii="Roboto Slab" w:eastAsiaTheme="minorHAnsi" w:hAnsi="Roboto Slab" w:cstheme="minorBidi"/>
              <w:caps w:val="0"/>
              <w:color w:val="auto"/>
              <w:sz w:val="22"/>
              <w:szCs w:val="22"/>
              <w:lang w:val="en-GB"/>
            </w:rPr>
          </w:pPr>
        </w:p>
        <w:p w14:paraId="376E6122" w14:textId="242C5FD7" w:rsidR="00373367" w:rsidRPr="00E87162" w:rsidRDefault="00373367" w:rsidP="00381CC6">
          <w:pPr>
            <w:pStyle w:val="TOCHeading"/>
            <w:ind w:left="284" w:right="-227"/>
            <w:jc w:val="left"/>
          </w:pPr>
          <w:r w:rsidRPr="00E87162">
            <w:t>Contents</w:t>
          </w:r>
        </w:p>
        <w:p w14:paraId="14B0BD75" w14:textId="175D320A" w:rsidR="003D3FE1" w:rsidRDefault="00373367">
          <w:pPr>
            <w:pStyle w:val="TOC2"/>
            <w:tabs>
              <w:tab w:val="left" w:pos="737"/>
              <w:tab w:val="right" w:leader="dot" w:pos="9016"/>
            </w:tabs>
            <w:rPr>
              <w:rFonts w:asciiTheme="minorHAnsi" w:eastAsiaTheme="minorEastAsia" w:hAnsiTheme="minorHAnsi"/>
              <w:noProof/>
              <w:kern w:val="2"/>
              <w:sz w:val="24"/>
              <w:szCs w:val="24"/>
              <w:lang w:eastAsia="en-GB"/>
              <w14:ligatures w14:val="standardContextual"/>
            </w:rPr>
          </w:pPr>
          <w:r w:rsidRPr="00E87162">
            <w:fldChar w:fldCharType="begin"/>
          </w:r>
          <w:r w:rsidRPr="00E87162">
            <w:instrText xml:space="preserve"> TOC \o "1-3" \h \z \u </w:instrText>
          </w:r>
          <w:r w:rsidRPr="00E87162">
            <w:fldChar w:fldCharType="separate"/>
          </w:r>
          <w:hyperlink w:anchor="_Toc142919641" w:history="1">
            <w:r w:rsidR="003D3FE1" w:rsidRPr="00F541A8">
              <w:rPr>
                <w:rStyle w:val="Hyperlink"/>
                <w:noProof/>
              </w:rPr>
              <w:t>1.</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Background</w:t>
            </w:r>
            <w:r w:rsidR="003D3FE1">
              <w:rPr>
                <w:noProof/>
                <w:webHidden/>
              </w:rPr>
              <w:tab/>
            </w:r>
            <w:r w:rsidR="003D3FE1">
              <w:rPr>
                <w:noProof/>
                <w:webHidden/>
              </w:rPr>
              <w:fldChar w:fldCharType="begin"/>
            </w:r>
            <w:r w:rsidR="003D3FE1">
              <w:rPr>
                <w:noProof/>
                <w:webHidden/>
              </w:rPr>
              <w:instrText xml:space="preserve"> PAGEREF _Toc142919641 \h </w:instrText>
            </w:r>
            <w:r w:rsidR="003D3FE1">
              <w:rPr>
                <w:noProof/>
                <w:webHidden/>
              </w:rPr>
            </w:r>
            <w:r w:rsidR="003D3FE1">
              <w:rPr>
                <w:noProof/>
                <w:webHidden/>
              </w:rPr>
              <w:fldChar w:fldCharType="separate"/>
            </w:r>
            <w:r w:rsidR="003D3FE1">
              <w:rPr>
                <w:noProof/>
                <w:webHidden/>
              </w:rPr>
              <w:t>3</w:t>
            </w:r>
            <w:r w:rsidR="003D3FE1">
              <w:rPr>
                <w:noProof/>
                <w:webHidden/>
              </w:rPr>
              <w:fldChar w:fldCharType="end"/>
            </w:r>
          </w:hyperlink>
        </w:p>
        <w:p w14:paraId="5B60E07C" w14:textId="44CC9075" w:rsidR="003D3FE1" w:rsidRDefault="00000000">
          <w:pPr>
            <w:pStyle w:val="TOC2"/>
            <w:tabs>
              <w:tab w:val="left" w:pos="737"/>
              <w:tab w:val="right" w:leader="dot" w:pos="9016"/>
            </w:tabs>
            <w:rPr>
              <w:rFonts w:asciiTheme="minorHAnsi" w:eastAsiaTheme="minorEastAsia" w:hAnsiTheme="minorHAnsi"/>
              <w:noProof/>
              <w:kern w:val="2"/>
              <w:sz w:val="24"/>
              <w:szCs w:val="24"/>
              <w:lang w:eastAsia="en-GB"/>
              <w14:ligatures w14:val="standardContextual"/>
            </w:rPr>
          </w:pPr>
          <w:hyperlink w:anchor="_Toc142919642" w:history="1">
            <w:r w:rsidR="003D3FE1" w:rsidRPr="00F541A8">
              <w:rPr>
                <w:rStyle w:val="Hyperlink"/>
                <w:noProof/>
              </w:rPr>
              <w:t>2.</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More Recent Changes</w:t>
            </w:r>
            <w:r w:rsidR="003D3FE1">
              <w:rPr>
                <w:noProof/>
                <w:webHidden/>
              </w:rPr>
              <w:tab/>
            </w:r>
            <w:r w:rsidR="003D3FE1">
              <w:rPr>
                <w:noProof/>
                <w:webHidden/>
              </w:rPr>
              <w:fldChar w:fldCharType="begin"/>
            </w:r>
            <w:r w:rsidR="003D3FE1">
              <w:rPr>
                <w:noProof/>
                <w:webHidden/>
              </w:rPr>
              <w:instrText xml:space="preserve"> PAGEREF _Toc142919642 \h </w:instrText>
            </w:r>
            <w:r w:rsidR="003D3FE1">
              <w:rPr>
                <w:noProof/>
                <w:webHidden/>
              </w:rPr>
            </w:r>
            <w:r w:rsidR="003D3FE1">
              <w:rPr>
                <w:noProof/>
                <w:webHidden/>
              </w:rPr>
              <w:fldChar w:fldCharType="separate"/>
            </w:r>
            <w:r w:rsidR="003D3FE1">
              <w:rPr>
                <w:noProof/>
                <w:webHidden/>
              </w:rPr>
              <w:t>3</w:t>
            </w:r>
            <w:r w:rsidR="003D3FE1">
              <w:rPr>
                <w:noProof/>
                <w:webHidden/>
              </w:rPr>
              <w:fldChar w:fldCharType="end"/>
            </w:r>
          </w:hyperlink>
        </w:p>
        <w:p w14:paraId="2E90CA9E" w14:textId="7980AD0D" w:rsidR="003D3FE1" w:rsidRDefault="00000000">
          <w:pPr>
            <w:pStyle w:val="TOC2"/>
            <w:tabs>
              <w:tab w:val="left" w:pos="737"/>
              <w:tab w:val="right" w:leader="dot" w:pos="9016"/>
            </w:tabs>
            <w:rPr>
              <w:rFonts w:asciiTheme="minorHAnsi" w:eastAsiaTheme="minorEastAsia" w:hAnsiTheme="minorHAnsi"/>
              <w:noProof/>
              <w:kern w:val="2"/>
              <w:sz w:val="24"/>
              <w:szCs w:val="24"/>
              <w:lang w:eastAsia="en-GB"/>
              <w14:ligatures w14:val="standardContextual"/>
            </w:rPr>
          </w:pPr>
          <w:hyperlink w:anchor="_Toc142919643" w:history="1">
            <w:r w:rsidR="003D3FE1" w:rsidRPr="00F541A8">
              <w:rPr>
                <w:rStyle w:val="Hyperlink"/>
                <w:noProof/>
              </w:rPr>
              <w:t>3.</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Management of the Trust</w:t>
            </w:r>
            <w:r w:rsidR="003D3FE1">
              <w:rPr>
                <w:noProof/>
                <w:webHidden/>
              </w:rPr>
              <w:tab/>
            </w:r>
            <w:r w:rsidR="003D3FE1">
              <w:rPr>
                <w:noProof/>
                <w:webHidden/>
              </w:rPr>
              <w:fldChar w:fldCharType="begin"/>
            </w:r>
            <w:r w:rsidR="003D3FE1">
              <w:rPr>
                <w:noProof/>
                <w:webHidden/>
              </w:rPr>
              <w:instrText xml:space="preserve"> PAGEREF _Toc142919643 \h </w:instrText>
            </w:r>
            <w:r w:rsidR="003D3FE1">
              <w:rPr>
                <w:noProof/>
                <w:webHidden/>
              </w:rPr>
            </w:r>
            <w:r w:rsidR="003D3FE1">
              <w:rPr>
                <w:noProof/>
                <w:webHidden/>
              </w:rPr>
              <w:fldChar w:fldCharType="separate"/>
            </w:r>
            <w:r w:rsidR="003D3FE1">
              <w:rPr>
                <w:noProof/>
                <w:webHidden/>
              </w:rPr>
              <w:t>4</w:t>
            </w:r>
            <w:r w:rsidR="003D3FE1">
              <w:rPr>
                <w:noProof/>
                <w:webHidden/>
              </w:rPr>
              <w:fldChar w:fldCharType="end"/>
            </w:r>
          </w:hyperlink>
        </w:p>
        <w:p w14:paraId="03B9D383" w14:textId="4CCD3870" w:rsidR="003D3FE1" w:rsidRDefault="00000000">
          <w:pPr>
            <w:pStyle w:val="TOC2"/>
            <w:tabs>
              <w:tab w:val="left" w:pos="737"/>
              <w:tab w:val="right" w:leader="dot" w:pos="9016"/>
            </w:tabs>
            <w:rPr>
              <w:rFonts w:asciiTheme="minorHAnsi" w:eastAsiaTheme="minorEastAsia" w:hAnsiTheme="minorHAnsi"/>
              <w:noProof/>
              <w:kern w:val="2"/>
              <w:sz w:val="24"/>
              <w:szCs w:val="24"/>
              <w:lang w:eastAsia="en-GB"/>
              <w14:ligatures w14:val="standardContextual"/>
            </w:rPr>
          </w:pPr>
          <w:hyperlink w:anchor="_Toc142919644" w:history="1">
            <w:r w:rsidR="003D3FE1" w:rsidRPr="00F541A8">
              <w:rPr>
                <w:rStyle w:val="Hyperlink"/>
                <w:noProof/>
              </w:rPr>
              <w:t>4.</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Trustees Meetings</w:t>
            </w:r>
            <w:r w:rsidR="003D3FE1">
              <w:rPr>
                <w:noProof/>
                <w:webHidden/>
              </w:rPr>
              <w:tab/>
            </w:r>
            <w:r w:rsidR="003D3FE1">
              <w:rPr>
                <w:noProof/>
                <w:webHidden/>
              </w:rPr>
              <w:fldChar w:fldCharType="begin"/>
            </w:r>
            <w:r w:rsidR="003D3FE1">
              <w:rPr>
                <w:noProof/>
                <w:webHidden/>
              </w:rPr>
              <w:instrText xml:space="preserve"> PAGEREF _Toc142919644 \h </w:instrText>
            </w:r>
            <w:r w:rsidR="003D3FE1">
              <w:rPr>
                <w:noProof/>
                <w:webHidden/>
              </w:rPr>
            </w:r>
            <w:r w:rsidR="003D3FE1">
              <w:rPr>
                <w:noProof/>
                <w:webHidden/>
              </w:rPr>
              <w:fldChar w:fldCharType="separate"/>
            </w:r>
            <w:r w:rsidR="003D3FE1">
              <w:rPr>
                <w:noProof/>
                <w:webHidden/>
              </w:rPr>
              <w:t>4</w:t>
            </w:r>
            <w:r w:rsidR="003D3FE1">
              <w:rPr>
                <w:noProof/>
                <w:webHidden/>
              </w:rPr>
              <w:fldChar w:fldCharType="end"/>
            </w:r>
          </w:hyperlink>
        </w:p>
        <w:p w14:paraId="0AF40057" w14:textId="3706BAF8" w:rsidR="003D3FE1" w:rsidRDefault="00000000">
          <w:pPr>
            <w:pStyle w:val="TOC2"/>
            <w:tabs>
              <w:tab w:val="left" w:pos="737"/>
              <w:tab w:val="right" w:leader="dot" w:pos="9016"/>
            </w:tabs>
            <w:rPr>
              <w:rFonts w:asciiTheme="minorHAnsi" w:eastAsiaTheme="minorEastAsia" w:hAnsiTheme="minorHAnsi"/>
              <w:noProof/>
              <w:kern w:val="2"/>
              <w:sz w:val="24"/>
              <w:szCs w:val="24"/>
              <w:lang w:eastAsia="en-GB"/>
              <w14:ligatures w14:val="standardContextual"/>
            </w:rPr>
          </w:pPr>
          <w:hyperlink w:anchor="_Toc142919645" w:history="1">
            <w:r w:rsidR="003D3FE1" w:rsidRPr="00F541A8">
              <w:rPr>
                <w:rStyle w:val="Hyperlink"/>
                <w:noProof/>
              </w:rPr>
              <w:t>5.</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Future of the Trust</w:t>
            </w:r>
            <w:r w:rsidR="003D3FE1">
              <w:rPr>
                <w:noProof/>
                <w:webHidden/>
              </w:rPr>
              <w:tab/>
            </w:r>
            <w:r w:rsidR="003D3FE1">
              <w:rPr>
                <w:noProof/>
                <w:webHidden/>
              </w:rPr>
              <w:fldChar w:fldCharType="begin"/>
            </w:r>
            <w:r w:rsidR="003D3FE1">
              <w:rPr>
                <w:noProof/>
                <w:webHidden/>
              </w:rPr>
              <w:instrText xml:space="preserve"> PAGEREF _Toc142919645 \h </w:instrText>
            </w:r>
            <w:r w:rsidR="003D3FE1">
              <w:rPr>
                <w:noProof/>
                <w:webHidden/>
              </w:rPr>
            </w:r>
            <w:r w:rsidR="003D3FE1">
              <w:rPr>
                <w:noProof/>
                <w:webHidden/>
              </w:rPr>
              <w:fldChar w:fldCharType="separate"/>
            </w:r>
            <w:r w:rsidR="003D3FE1">
              <w:rPr>
                <w:noProof/>
                <w:webHidden/>
              </w:rPr>
              <w:t>4</w:t>
            </w:r>
            <w:r w:rsidR="003D3FE1">
              <w:rPr>
                <w:noProof/>
                <w:webHidden/>
              </w:rPr>
              <w:fldChar w:fldCharType="end"/>
            </w:r>
          </w:hyperlink>
        </w:p>
        <w:p w14:paraId="4DBDC27A" w14:textId="1CDC48D7" w:rsidR="003D3FE1" w:rsidRDefault="00000000">
          <w:pPr>
            <w:pStyle w:val="TOC2"/>
            <w:tabs>
              <w:tab w:val="left" w:pos="737"/>
              <w:tab w:val="right" w:leader="dot" w:pos="9016"/>
            </w:tabs>
            <w:rPr>
              <w:rFonts w:asciiTheme="minorHAnsi" w:eastAsiaTheme="minorEastAsia" w:hAnsiTheme="minorHAnsi"/>
              <w:noProof/>
              <w:kern w:val="2"/>
              <w:sz w:val="24"/>
              <w:szCs w:val="24"/>
              <w:lang w:eastAsia="en-GB"/>
              <w14:ligatures w14:val="standardContextual"/>
            </w:rPr>
          </w:pPr>
          <w:hyperlink w:anchor="_Toc142919646" w:history="1">
            <w:r w:rsidR="003D3FE1" w:rsidRPr="00F541A8">
              <w:rPr>
                <w:rStyle w:val="Hyperlink"/>
                <w:noProof/>
              </w:rPr>
              <w:t>6.</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Trustee Recruitment</w:t>
            </w:r>
            <w:r w:rsidR="003D3FE1">
              <w:rPr>
                <w:noProof/>
                <w:webHidden/>
              </w:rPr>
              <w:tab/>
            </w:r>
            <w:r w:rsidR="003D3FE1">
              <w:rPr>
                <w:noProof/>
                <w:webHidden/>
              </w:rPr>
              <w:fldChar w:fldCharType="begin"/>
            </w:r>
            <w:r w:rsidR="003D3FE1">
              <w:rPr>
                <w:noProof/>
                <w:webHidden/>
              </w:rPr>
              <w:instrText xml:space="preserve"> PAGEREF _Toc142919646 \h </w:instrText>
            </w:r>
            <w:r w:rsidR="003D3FE1">
              <w:rPr>
                <w:noProof/>
                <w:webHidden/>
              </w:rPr>
            </w:r>
            <w:r w:rsidR="003D3FE1">
              <w:rPr>
                <w:noProof/>
                <w:webHidden/>
              </w:rPr>
              <w:fldChar w:fldCharType="separate"/>
            </w:r>
            <w:r w:rsidR="003D3FE1">
              <w:rPr>
                <w:noProof/>
                <w:webHidden/>
              </w:rPr>
              <w:t>5</w:t>
            </w:r>
            <w:r w:rsidR="003D3FE1">
              <w:rPr>
                <w:noProof/>
                <w:webHidden/>
              </w:rPr>
              <w:fldChar w:fldCharType="end"/>
            </w:r>
          </w:hyperlink>
        </w:p>
        <w:p w14:paraId="03DA96FE" w14:textId="1B6B6A61" w:rsidR="003D3FE1" w:rsidRDefault="00000000">
          <w:pPr>
            <w:pStyle w:val="TOC2"/>
            <w:tabs>
              <w:tab w:val="left" w:pos="737"/>
              <w:tab w:val="right" w:leader="dot" w:pos="9016"/>
            </w:tabs>
            <w:rPr>
              <w:rFonts w:asciiTheme="minorHAnsi" w:eastAsiaTheme="minorEastAsia" w:hAnsiTheme="minorHAnsi"/>
              <w:noProof/>
              <w:kern w:val="2"/>
              <w:sz w:val="24"/>
              <w:szCs w:val="24"/>
              <w:lang w:eastAsia="en-GB"/>
              <w14:ligatures w14:val="standardContextual"/>
            </w:rPr>
          </w:pPr>
          <w:hyperlink w:anchor="_Toc142919647" w:history="1">
            <w:r w:rsidR="003D3FE1" w:rsidRPr="00F541A8">
              <w:rPr>
                <w:rStyle w:val="Hyperlink"/>
                <w:noProof/>
              </w:rPr>
              <w:t>7.</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Trustee Responsibilities</w:t>
            </w:r>
            <w:r w:rsidR="003D3FE1">
              <w:rPr>
                <w:noProof/>
                <w:webHidden/>
              </w:rPr>
              <w:tab/>
            </w:r>
            <w:r w:rsidR="003D3FE1">
              <w:rPr>
                <w:noProof/>
                <w:webHidden/>
              </w:rPr>
              <w:fldChar w:fldCharType="begin"/>
            </w:r>
            <w:r w:rsidR="003D3FE1">
              <w:rPr>
                <w:noProof/>
                <w:webHidden/>
              </w:rPr>
              <w:instrText xml:space="preserve"> PAGEREF _Toc142919647 \h </w:instrText>
            </w:r>
            <w:r w:rsidR="003D3FE1">
              <w:rPr>
                <w:noProof/>
                <w:webHidden/>
              </w:rPr>
            </w:r>
            <w:r w:rsidR="003D3FE1">
              <w:rPr>
                <w:noProof/>
                <w:webHidden/>
              </w:rPr>
              <w:fldChar w:fldCharType="separate"/>
            </w:r>
            <w:r w:rsidR="003D3FE1">
              <w:rPr>
                <w:noProof/>
                <w:webHidden/>
              </w:rPr>
              <w:t>5</w:t>
            </w:r>
            <w:r w:rsidR="003D3FE1">
              <w:rPr>
                <w:noProof/>
                <w:webHidden/>
              </w:rPr>
              <w:fldChar w:fldCharType="end"/>
            </w:r>
          </w:hyperlink>
        </w:p>
        <w:p w14:paraId="73DF4B7D" w14:textId="2A0C7F1A" w:rsidR="003D3FE1" w:rsidRDefault="00000000">
          <w:pPr>
            <w:pStyle w:val="TOC3"/>
            <w:tabs>
              <w:tab w:val="left" w:pos="960"/>
              <w:tab w:val="right" w:leader="dot" w:pos="9016"/>
            </w:tabs>
            <w:rPr>
              <w:rFonts w:asciiTheme="minorHAnsi" w:eastAsiaTheme="minorEastAsia" w:hAnsiTheme="minorHAnsi"/>
              <w:noProof/>
              <w:kern w:val="2"/>
              <w:sz w:val="24"/>
              <w:szCs w:val="24"/>
              <w:lang w:eastAsia="en-GB"/>
              <w14:ligatures w14:val="standardContextual"/>
            </w:rPr>
          </w:pPr>
          <w:hyperlink w:anchor="_Toc142919648" w:history="1">
            <w:r w:rsidR="003D3FE1" w:rsidRPr="00F541A8">
              <w:rPr>
                <w:rStyle w:val="Hyperlink"/>
                <w:noProof/>
              </w:rPr>
              <w:t>7.1</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Information available</w:t>
            </w:r>
            <w:r w:rsidR="003D3FE1">
              <w:rPr>
                <w:noProof/>
                <w:webHidden/>
              </w:rPr>
              <w:tab/>
            </w:r>
            <w:r w:rsidR="003D3FE1">
              <w:rPr>
                <w:noProof/>
                <w:webHidden/>
              </w:rPr>
              <w:fldChar w:fldCharType="begin"/>
            </w:r>
            <w:r w:rsidR="003D3FE1">
              <w:rPr>
                <w:noProof/>
                <w:webHidden/>
              </w:rPr>
              <w:instrText xml:space="preserve"> PAGEREF _Toc142919648 \h </w:instrText>
            </w:r>
            <w:r w:rsidR="003D3FE1">
              <w:rPr>
                <w:noProof/>
                <w:webHidden/>
              </w:rPr>
            </w:r>
            <w:r w:rsidR="003D3FE1">
              <w:rPr>
                <w:noProof/>
                <w:webHidden/>
              </w:rPr>
              <w:fldChar w:fldCharType="separate"/>
            </w:r>
            <w:r w:rsidR="003D3FE1">
              <w:rPr>
                <w:noProof/>
                <w:webHidden/>
              </w:rPr>
              <w:t>5</w:t>
            </w:r>
            <w:r w:rsidR="003D3FE1">
              <w:rPr>
                <w:noProof/>
                <w:webHidden/>
              </w:rPr>
              <w:fldChar w:fldCharType="end"/>
            </w:r>
          </w:hyperlink>
        </w:p>
        <w:p w14:paraId="585FE39C" w14:textId="66452436" w:rsidR="003D3FE1" w:rsidRDefault="00000000">
          <w:pPr>
            <w:pStyle w:val="TOC3"/>
            <w:tabs>
              <w:tab w:val="left" w:pos="960"/>
              <w:tab w:val="right" w:leader="dot" w:pos="9016"/>
            </w:tabs>
            <w:rPr>
              <w:rFonts w:asciiTheme="minorHAnsi" w:eastAsiaTheme="minorEastAsia" w:hAnsiTheme="minorHAnsi"/>
              <w:noProof/>
              <w:kern w:val="2"/>
              <w:sz w:val="24"/>
              <w:szCs w:val="24"/>
              <w:lang w:eastAsia="en-GB"/>
              <w14:ligatures w14:val="standardContextual"/>
            </w:rPr>
          </w:pPr>
          <w:hyperlink w:anchor="_Toc142919649" w:history="1">
            <w:r w:rsidR="003D3FE1" w:rsidRPr="00F541A8">
              <w:rPr>
                <w:rStyle w:val="Hyperlink"/>
                <w:noProof/>
              </w:rPr>
              <w:t>7.2</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Specific responsibilities for Trustees</w:t>
            </w:r>
            <w:r w:rsidR="003D3FE1">
              <w:rPr>
                <w:noProof/>
                <w:webHidden/>
              </w:rPr>
              <w:tab/>
            </w:r>
            <w:r w:rsidR="003D3FE1">
              <w:rPr>
                <w:noProof/>
                <w:webHidden/>
              </w:rPr>
              <w:fldChar w:fldCharType="begin"/>
            </w:r>
            <w:r w:rsidR="003D3FE1">
              <w:rPr>
                <w:noProof/>
                <w:webHidden/>
              </w:rPr>
              <w:instrText xml:space="preserve"> PAGEREF _Toc142919649 \h </w:instrText>
            </w:r>
            <w:r w:rsidR="003D3FE1">
              <w:rPr>
                <w:noProof/>
                <w:webHidden/>
              </w:rPr>
            </w:r>
            <w:r w:rsidR="003D3FE1">
              <w:rPr>
                <w:noProof/>
                <w:webHidden/>
              </w:rPr>
              <w:fldChar w:fldCharType="separate"/>
            </w:r>
            <w:r w:rsidR="003D3FE1">
              <w:rPr>
                <w:noProof/>
                <w:webHidden/>
              </w:rPr>
              <w:t>5</w:t>
            </w:r>
            <w:r w:rsidR="003D3FE1">
              <w:rPr>
                <w:noProof/>
                <w:webHidden/>
              </w:rPr>
              <w:fldChar w:fldCharType="end"/>
            </w:r>
          </w:hyperlink>
        </w:p>
        <w:p w14:paraId="71ABB268" w14:textId="4CDB94DE" w:rsidR="003D3FE1" w:rsidRDefault="00000000">
          <w:pPr>
            <w:pStyle w:val="TOC2"/>
            <w:tabs>
              <w:tab w:val="left" w:pos="737"/>
              <w:tab w:val="right" w:leader="dot" w:pos="9016"/>
            </w:tabs>
            <w:rPr>
              <w:rFonts w:asciiTheme="minorHAnsi" w:eastAsiaTheme="minorEastAsia" w:hAnsiTheme="minorHAnsi"/>
              <w:noProof/>
              <w:kern w:val="2"/>
              <w:sz w:val="24"/>
              <w:szCs w:val="24"/>
              <w:lang w:eastAsia="en-GB"/>
              <w14:ligatures w14:val="standardContextual"/>
            </w:rPr>
          </w:pPr>
          <w:hyperlink w:anchor="_Toc142919650" w:history="1">
            <w:r w:rsidR="003D3FE1" w:rsidRPr="00F541A8">
              <w:rPr>
                <w:rStyle w:val="Hyperlink"/>
                <w:noProof/>
              </w:rPr>
              <w:t>8.</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Person Specification</w:t>
            </w:r>
            <w:r w:rsidR="003D3FE1">
              <w:rPr>
                <w:noProof/>
                <w:webHidden/>
              </w:rPr>
              <w:tab/>
            </w:r>
            <w:r w:rsidR="003D3FE1">
              <w:rPr>
                <w:noProof/>
                <w:webHidden/>
              </w:rPr>
              <w:fldChar w:fldCharType="begin"/>
            </w:r>
            <w:r w:rsidR="003D3FE1">
              <w:rPr>
                <w:noProof/>
                <w:webHidden/>
              </w:rPr>
              <w:instrText xml:space="preserve"> PAGEREF _Toc142919650 \h </w:instrText>
            </w:r>
            <w:r w:rsidR="003D3FE1">
              <w:rPr>
                <w:noProof/>
                <w:webHidden/>
              </w:rPr>
            </w:r>
            <w:r w:rsidR="003D3FE1">
              <w:rPr>
                <w:noProof/>
                <w:webHidden/>
              </w:rPr>
              <w:fldChar w:fldCharType="separate"/>
            </w:r>
            <w:r w:rsidR="003D3FE1">
              <w:rPr>
                <w:noProof/>
                <w:webHidden/>
              </w:rPr>
              <w:t>6</w:t>
            </w:r>
            <w:r w:rsidR="003D3FE1">
              <w:rPr>
                <w:noProof/>
                <w:webHidden/>
              </w:rPr>
              <w:fldChar w:fldCharType="end"/>
            </w:r>
          </w:hyperlink>
        </w:p>
        <w:p w14:paraId="62E83EB5" w14:textId="05B77B84" w:rsidR="003D3FE1" w:rsidRDefault="00000000">
          <w:pPr>
            <w:pStyle w:val="TOC3"/>
            <w:tabs>
              <w:tab w:val="left" w:pos="960"/>
              <w:tab w:val="right" w:leader="dot" w:pos="9016"/>
            </w:tabs>
            <w:rPr>
              <w:rFonts w:asciiTheme="minorHAnsi" w:eastAsiaTheme="minorEastAsia" w:hAnsiTheme="minorHAnsi"/>
              <w:noProof/>
              <w:kern w:val="2"/>
              <w:sz w:val="24"/>
              <w:szCs w:val="24"/>
              <w:lang w:eastAsia="en-GB"/>
              <w14:ligatures w14:val="standardContextual"/>
            </w:rPr>
          </w:pPr>
          <w:hyperlink w:anchor="_Toc142919651" w:history="1">
            <w:r w:rsidR="003D3FE1" w:rsidRPr="00F541A8">
              <w:rPr>
                <w:rStyle w:val="Hyperlink"/>
                <w:noProof/>
              </w:rPr>
              <w:t>8.1</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Essential attributes</w:t>
            </w:r>
            <w:r w:rsidR="003D3FE1">
              <w:rPr>
                <w:noProof/>
                <w:webHidden/>
              </w:rPr>
              <w:tab/>
            </w:r>
            <w:r w:rsidR="003D3FE1">
              <w:rPr>
                <w:noProof/>
                <w:webHidden/>
              </w:rPr>
              <w:fldChar w:fldCharType="begin"/>
            </w:r>
            <w:r w:rsidR="003D3FE1">
              <w:rPr>
                <w:noProof/>
                <w:webHidden/>
              </w:rPr>
              <w:instrText xml:space="preserve"> PAGEREF _Toc142919651 \h </w:instrText>
            </w:r>
            <w:r w:rsidR="003D3FE1">
              <w:rPr>
                <w:noProof/>
                <w:webHidden/>
              </w:rPr>
            </w:r>
            <w:r w:rsidR="003D3FE1">
              <w:rPr>
                <w:noProof/>
                <w:webHidden/>
              </w:rPr>
              <w:fldChar w:fldCharType="separate"/>
            </w:r>
            <w:r w:rsidR="003D3FE1">
              <w:rPr>
                <w:noProof/>
                <w:webHidden/>
              </w:rPr>
              <w:t>6</w:t>
            </w:r>
            <w:r w:rsidR="003D3FE1">
              <w:rPr>
                <w:noProof/>
                <w:webHidden/>
              </w:rPr>
              <w:fldChar w:fldCharType="end"/>
            </w:r>
          </w:hyperlink>
        </w:p>
        <w:p w14:paraId="02BA9A92" w14:textId="692F9DC5" w:rsidR="003D3FE1" w:rsidRDefault="00000000">
          <w:pPr>
            <w:pStyle w:val="TOC3"/>
            <w:tabs>
              <w:tab w:val="left" w:pos="960"/>
              <w:tab w:val="right" w:leader="dot" w:pos="9016"/>
            </w:tabs>
            <w:rPr>
              <w:rFonts w:asciiTheme="minorHAnsi" w:eastAsiaTheme="minorEastAsia" w:hAnsiTheme="minorHAnsi"/>
              <w:noProof/>
              <w:kern w:val="2"/>
              <w:sz w:val="24"/>
              <w:szCs w:val="24"/>
              <w:lang w:eastAsia="en-GB"/>
              <w14:ligatures w14:val="standardContextual"/>
            </w:rPr>
          </w:pPr>
          <w:hyperlink w:anchor="_Toc142919652" w:history="1">
            <w:r w:rsidR="003D3FE1" w:rsidRPr="00F541A8">
              <w:rPr>
                <w:rStyle w:val="Hyperlink"/>
                <w:noProof/>
              </w:rPr>
              <w:t>8.2</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Desirable attributes</w:t>
            </w:r>
            <w:r w:rsidR="003D3FE1">
              <w:rPr>
                <w:noProof/>
                <w:webHidden/>
              </w:rPr>
              <w:tab/>
            </w:r>
            <w:r w:rsidR="003D3FE1">
              <w:rPr>
                <w:noProof/>
                <w:webHidden/>
              </w:rPr>
              <w:fldChar w:fldCharType="begin"/>
            </w:r>
            <w:r w:rsidR="003D3FE1">
              <w:rPr>
                <w:noProof/>
                <w:webHidden/>
              </w:rPr>
              <w:instrText xml:space="preserve"> PAGEREF _Toc142919652 \h </w:instrText>
            </w:r>
            <w:r w:rsidR="003D3FE1">
              <w:rPr>
                <w:noProof/>
                <w:webHidden/>
              </w:rPr>
            </w:r>
            <w:r w:rsidR="003D3FE1">
              <w:rPr>
                <w:noProof/>
                <w:webHidden/>
              </w:rPr>
              <w:fldChar w:fldCharType="separate"/>
            </w:r>
            <w:r w:rsidR="003D3FE1">
              <w:rPr>
                <w:noProof/>
                <w:webHidden/>
              </w:rPr>
              <w:t>6</w:t>
            </w:r>
            <w:r w:rsidR="003D3FE1">
              <w:rPr>
                <w:noProof/>
                <w:webHidden/>
              </w:rPr>
              <w:fldChar w:fldCharType="end"/>
            </w:r>
          </w:hyperlink>
        </w:p>
        <w:p w14:paraId="4BC88D55" w14:textId="3A4629CD" w:rsidR="003D3FE1" w:rsidRDefault="00000000">
          <w:pPr>
            <w:pStyle w:val="TOC2"/>
            <w:tabs>
              <w:tab w:val="left" w:pos="737"/>
              <w:tab w:val="right" w:leader="dot" w:pos="9016"/>
            </w:tabs>
            <w:rPr>
              <w:rFonts w:asciiTheme="minorHAnsi" w:eastAsiaTheme="minorEastAsia" w:hAnsiTheme="minorHAnsi"/>
              <w:noProof/>
              <w:kern w:val="2"/>
              <w:sz w:val="24"/>
              <w:szCs w:val="24"/>
              <w:lang w:eastAsia="en-GB"/>
              <w14:ligatures w14:val="standardContextual"/>
            </w:rPr>
          </w:pPr>
          <w:hyperlink w:anchor="_Toc142919653" w:history="1">
            <w:r w:rsidR="003D3FE1" w:rsidRPr="00F541A8">
              <w:rPr>
                <w:rStyle w:val="Hyperlink"/>
                <w:noProof/>
              </w:rPr>
              <w:t>9.</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Personal Commitment</w:t>
            </w:r>
            <w:r w:rsidR="003D3FE1">
              <w:rPr>
                <w:noProof/>
                <w:webHidden/>
              </w:rPr>
              <w:tab/>
            </w:r>
            <w:r w:rsidR="003D3FE1">
              <w:rPr>
                <w:noProof/>
                <w:webHidden/>
              </w:rPr>
              <w:fldChar w:fldCharType="begin"/>
            </w:r>
            <w:r w:rsidR="003D3FE1">
              <w:rPr>
                <w:noProof/>
                <w:webHidden/>
              </w:rPr>
              <w:instrText xml:space="preserve"> PAGEREF _Toc142919653 \h </w:instrText>
            </w:r>
            <w:r w:rsidR="003D3FE1">
              <w:rPr>
                <w:noProof/>
                <w:webHidden/>
              </w:rPr>
            </w:r>
            <w:r w:rsidR="003D3FE1">
              <w:rPr>
                <w:noProof/>
                <w:webHidden/>
              </w:rPr>
              <w:fldChar w:fldCharType="separate"/>
            </w:r>
            <w:r w:rsidR="003D3FE1">
              <w:rPr>
                <w:noProof/>
                <w:webHidden/>
              </w:rPr>
              <w:t>6</w:t>
            </w:r>
            <w:r w:rsidR="003D3FE1">
              <w:rPr>
                <w:noProof/>
                <w:webHidden/>
              </w:rPr>
              <w:fldChar w:fldCharType="end"/>
            </w:r>
          </w:hyperlink>
        </w:p>
        <w:p w14:paraId="67E2DBDB" w14:textId="67B9AB43" w:rsidR="003D3FE1" w:rsidRDefault="00000000">
          <w:pPr>
            <w:pStyle w:val="TOC2"/>
            <w:tabs>
              <w:tab w:val="left" w:pos="737"/>
              <w:tab w:val="right" w:leader="dot" w:pos="9016"/>
            </w:tabs>
            <w:rPr>
              <w:rFonts w:asciiTheme="minorHAnsi" w:eastAsiaTheme="minorEastAsia" w:hAnsiTheme="minorHAnsi"/>
              <w:noProof/>
              <w:kern w:val="2"/>
              <w:sz w:val="24"/>
              <w:szCs w:val="24"/>
              <w:lang w:eastAsia="en-GB"/>
              <w14:ligatures w14:val="standardContextual"/>
            </w:rPr>
          </w:pPr>
          <w:hyperlink w:anchor="_Toc142919654" w:history="1">
            <w:r w:rsidR="003D3FE1" w:rsidRPr="00F541A8">
              <w:rPr>
                <w:rStyle w:val="Hyperlink"/>
                <w:noProof/>
              </w:rPr>
              <w:t>10.</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Remuneration and Tenure</w:t>
            </w:r>
            <w:r w:rsidR="003D3FE1">
              <w:rPr>
                <w:noProof/>
                <w:webHidden/>
              </w:rPr>
              <w:tab/>
            </w:r>
            <w:r w:rsidR="003D3FE1">
              <w:rPr>
                <w:noProof/>
                <w:webHidden/>
              </w:rPr>
              <w:fldChar w:fldCharType="begin"/>
            </w:r>
            <w:r w:rsidR="003D3FE1">
              <w:rPr>
                <w:noProof/>
                <w:webHidden/>
              </w:rPr>
              <w:instrText xml:space="preserve"> PAGEREF _Toc142919654 \h </w:instrText>
            </w:r>
            <w:r w:rsidR="003D3FE1">
              <w:rPr>
                <w:noProof/>
                <w:webHidden/>
              </w:rPr>
            </w:r>
            <w:r w:rsidR="003D3FE1">
              <w:rPr>
                <w:noProof/>
                <w:webHidden/>
              </w:rPr>
              <w:fldChar w:fldCharType="separate"/>
            </w:r>
            <w:r w:rsidR="003D3FE1">
              <w:rPr>
                <w:noProof/>
                <w:webHidden/>
              </w:rPr>
              <w:t>7</w:t>
            </w:r>
            <w:r w:rsidR="003D3FE1">
              <w:rPr>
                <w:noProof/>
                <w:webHidden/>
              </w:rPr>
              <w:fldChar w:fldCharType="end"/>
            </w:r>
          </w:hyperlink>
        </w:p>
        <w:p w14:paraId="05195992" w14:textId="72E08FD9" w:rsidR="003D3FE1" w:rsidRDefault="00000000">
          <w:pPr>
            <w:pStyle w:val="TOC2"/>
            <w:tabs>
              <w:tab w:val="left" w:pos="737"/>
              <w:tab w:val="right" w:leader="dot" w:pos="9016"/>
            </w:tabs>
            <w:rPr>
              <w:rFonts w:asciiTheme="minorHAnsi" w:eastAsiaTheme="minorEastAsia" w:hAnsiTheme="minorHAnsi"/>
              <w:noProof/>
              <w:kern w:val="2"/>
              <w:sz w:val="24"/>
              <w:szCs w:val="24"/>
              <w:lang w:eastAsia="en-GB"/>
              <w14:ligatures w14:val="standardContextual"/>
            </w:rPr>
          </w:pPr>
          <w:hyperlink w:anchor="_Toc142919655" w:history="1">
            <w:r w:rsidR="003D3FE1" w:rsidRPr="00F541A8">
              <w:rPr>
                <w:rStyle w:val="Hyperlink"/>
                <w:noProof/>
              </w:rPr>
              <w:t>11.</w:t>
            </w:r>
            <w:r w:rsidR="003D3FE1">
              <w:rPr>
                <w:rFonts w:asciiTheme="minorHAnsi" w:eastAsiaTheme="minorEastAsia" w:hAnsiTheme="minorHAnsi"/>
                <w:noProof/>
                <w:kern w:val="2"/>
                <w:sz w:val="24"/>
                <w:szCs w:val="24"/>
                <w:lang w:eastAsia="en-GB"/>
                <w14:ligatures w14:val="standardContextual"/>
              </w:rPr>
              <w:tab/>
            </w:r>
            <w:r w:rsidR="003D3FE1" w:rsidRPr="00F541A8">
              <w:rPr>
                <w:rStyle w:val="Hyperlink"/>
                <w:noProof/>
              </w:rPr>
              <w:t>Recruitment Process</w:t>
            </w:r>
            <w:r w:rsidR="003D3FE1">
              <w:rPr>
                <w:noProof/>
                <w:webHidden/>
              </w:rPr>
              <w:tab/>
            </w:r>
            <w:r w:rsidR="003D3FE1">
              <w:rPr>
                <w:noProof/>
                <w:webHidden/>
              </w:rPr>
              <w:fldChar w:fldCharType="begin"/>
            </w:r>
            <w:r w:rsidR="003D3FE1">
              <w:rPr>
                <w:noProof/>
                <w:webHidden/>
              </w:rPr>
              <w:instrText xml:space="preserve"> PAGEREF _Toc142919655 \h </w:instrText>
            </w:r>
            <w:r w:rsidR="003D3FE1">
              <w:rPr>
                <w:noProof/>
                <w:webHidden/>
              </w:rPr>
            </w:r>
            <w:r w:rsidR="003D3FE1">
              <w:rPr>
                <w:noProof/>
                <w:webHidden/>
              </w:rPr>
              <w:fldChar w:fldCharType="separate"/>
            </w:r>
            <w:r w:rsidR="003D3FE1">
              <w:rPr>
                <w:noProof/>
                <w:webHidden/>
              </w:rPr>
              <w:t>7</w:t>
            </w:r>
            <w:r w:rsidR="003D3FE1">
              <w:rPr>
                <w:noProof/>
                <w:webHidden/>
              </w:rPr>
              <w:fldChar w:fldCharType="end"/>
            </w:r>
          </w:hyperlink>
        </w:p>
        <w:p w14:paraId="7CDA9BD3" w14:textId="388DF6EE" w:rsidR="00373367" w:rsidRPr="00E87162" w:rsidRDefault="00373367" w:rsidP="00381CC6">
          <w:pPr>
            <w:ind w:left="284" w:right="-227"/>
            <w:jc w:val="left"/>
          </w:pPr>
          <w:r w:rsidRPr="00E87162">
            <w:rPr>
              <w:noProof/>
            </w:rPr>
            <w:fldChar w:fldCharType="end"/>
          </w:r>
        </w:p>
      </w:sdtContent>
    </w:sdt>
    <w:p w14:paraId="5AF858A5" w14:textId="77777777" w:rsidR="00452FBE" w:rsidRPr="00E87162" w:rsidRDefault="00452FBE" w:rsidP="00381CC6">
      <w:pPr>
        <w:ind w:left="284" w:right="-227"/>
        <w:jc w:val="left"/>
      </w:pPr>
    </w:p>
    <w:p w14:paraId="26679D88" w14:textId="77777777" w:rsidR="00452FBE" w:rsidRPr="00E87162" w:rsidRDefault="00452FBE" w:rsidP="00381CC6">
      <w:pPr>
        <w:ind w:left="284" w:right="-227"/>
        <w:jc w:val="left"/>
      </w:pPr>
    </w:p>
    <w:p w14:paraId="70133AA7" w14:textId="77777777" w:rsidR="00452FBE" w:rsidRPr="00E87162" w:rsidRDefault="00452FBE" w:rsidP="00381CC6">
      <w:pPr>
        <w:ind w:left="284" w:right="-227"/>
        <w:jc w:val="left"/>
      </w:pPr>
    </w:p>
    <w:p w14:paraId="7DEBD417" w14:textId="77777777" w:rsidR="00E87162" w:rsidRDefault="00E87162" w:rsidP="00381CC6">
      <w:pPr>
        <w:pStyle w:val="Heading2"/>
        <w:ind w:left="284" w:right="-227"/>
        <w:jc w:val="left"/>
        <w:sectPr w:rsidR="00E87162" w:rsidSect="00445D43">
          <w:headerReference w:type="default" r:id="rId9"/>
          <w:footerReference w:type="even" r:id="rId10"/>
          <w:footerReference w:type="default" r:id="rId11"/>
          <w:pgSz w:w="11906" w:h="16838"/>
          <w:pgMar w:top="1440" w:right="1440" w:bottom="1440" w:left="1440" w:header="708" w:footer="708" w:gutter="0"/>
          <w:cols w:space="708"/>
          <w:titlePg/>
          <w:docGrid w:linePitch="360"/>
        </w:sectPr>
      </w:pPr>
    </w:p>
    <w:p w14:paraId="2CBE071D" w14:textId="4C6C9DBA" w:rsidR="00452FBE" w:rsidRPr="00E87162" w:rsidRDefault="00452FBE" w:rsidP="00381CC6">
      <w:pPr>
        <w:pStyle w:val="Heading2"/>
        <w:ind w:left="284" w:right="-227"/>
        <w:jc w:val="left"/>
      </w:pPr>
      <w:bookmarkStart w:id="0" w:name="_Toc142919641"/>
      <w:r w:rsidRPr="00E87162">
        <w:lastRenderedPageBreak/>
        <w:t>Background</w:t>
      </w:r>
      <w:bookmarkEnd w:id="0"/>
    </w:p>
    <w:p w14:paraId="1123B37D" w14:textId="77777777" w:rsidR="00452FBE" w:rsidRPr="00E87162" w:rsidRDefault="00452FBE" w:rsidP="00381CC6">
      <w:pPr>
        <w:ind w:left="284" w:right="-227"/>
        <w:jc w:val="left"/>
      </w:pPr>
      <w:r w:rsidRPr="00E87162">
        <w:t>The Armed Forces Education Trust is the successor charity to The Royal School Hampstead Trust.</w:t>
      </w:r>
    </w:p>
    <w:p w14:paraId="7C0583AE" w14:textId="77777777" w:rsidR="00452FBE" w:rsidRPr="00E87162" w:rsidRDefault="00452FBE" w:rsidP="00381CC6">
      <w:pPr>
        <w:ind w:left="284" w:right="-227"/>
        <w:jc w:val="left"/>
      </w:pPr>
      <w:r w:rsidRPr="00E87162">
        <w:t>The Royal School was founded in 1855 as the Soldiers' Infant Home before becoming the Royal Soldiers' Daughters' School in 1856 under the patronage of Queen Victoria and Prince Albert.   It was the first school established "to nurse, board, clothe and educate the female children, orphans or not, of soldiers in Her Majesty's Army killed in the Crimean War".</w:t>
      </w:r>
    </w:p>
    <w:p w14:paraId="70C47D5D" w14:textId="411D294C" w:rsidR="00452FBE" w:rsidRPr="00E87162" w:rsidRDefault="00452FBE" w:rsidP="00381CC6">
      <w:pPr>
        <w:ind w:left="284" w:right="-227"/>
        <w:jc w:val="left"/>
      </w:pPr>
      <w:r w:rsidRPr="00E87162">
        <w:t xml:space="preserve">It continued in its role through changing times and educational practices until the 1960s when the old school was </w:t>
      </w:r>
      <w:r w:rsidR="00C27A35" w:rsidRPr="00E87162">
        <w:t>demolished,</w:t>
      </w:r>
      <w:r w:rsidRPr="00E87162">
        <w:t xml:space="preserve"> and a new school built on Rosslyn Hill.  In 1987 its charter was changed to include the children of all </w:t>
      </w:r>
      <w:proofErr w:type="gramStart"/>
      <w:r w:rsidRPr="00E87162">
        <w:t>three Armed</w:t>
      </w:r>
      <w:proofErr w:type="gramEnd"/>
      <w:r w:rsidRPr="00E87162">
        <w:t xml:space="preserve"> Services and it became The Royal School Hampstead Trust.</w:t>
      </w:r>
    </w:p>
    <w:p w14:paraId="13837632" w14:textId="33C93F5C" w:rsidR="00452FBE" w:rsidRPr="00E87162" w:rsidRDefault="00452FBE" w:rsidP="00381CC6">
      <w:pPr>
        <w:ind w:left="284" w:right="-227"/>
        <w:jc w:val="left"/>
      </w:pPr>
      <w:r w:rsidRPr="00E87162">
        <w:t xml:space="preserve">By the early twenty first century the number of Service children had dropped considerably and in 2011 the Charity Commission agreed that the Trust could fulfil its objects by other means than direct education.   Accordingly, it divested itself of the management of the School which was leased in 2012 to the </w:t>
      </w:r>
      <w:proofErr w:type="spellStart"/>
      <w:r w:rsidRPr="00E87162">
        <w:t>Cognita</w:t>
      </w:r>
      <w:proofErr w:type="spellEnd"/>
      <w:r w:rsidRPr="00E87162">
        <w:t xml:space="preserve"> Group, thus providing the Trust with a well-covenanted long-term income from which grants can be made. </w:t>
      </w:r>
      <w:proofErr w:type="spellStart"/>
      <w:r w:rsidRPr="00E87162">
        <w:t>Cognita</w:t>
      </w:r>
      <w:proofErr w:type="spellEnd"/>
      <w:r w:rsidRPr="00E87162">
        <w:t xml:space="preserve"> now run North Bridge House Senior School on the site.</w:t>
      </w:r>
      <w:r w:rsidR="00EA1AC5">
        <w:t xml:space="preserve"> </w:t>
      </w:r>
    </w:p>
    <w:p w14:paraId="32D96769" w14:textId="4AAE51B2" w:rsidR="00452FBE" w:rsidRPr="00E87162" w:rsidRDefault="00EA1AC5" w:rsidP="00EA1AC5">
      <w:pPr>
        <w:ind w:left="284" w:right="-227"/>
        <w:jc w:val="left"/>
      </w:pPr>
      <w:r>
        <w:t xml:space="preserve">With an income of </w:t>
      </w:r>
      <w:r w:rsidR="00452FBE" w:rsidRPr="00E87162">
        <w:t>c£</w:t>
      </w:r>
      <w:r>
        <w:t>55</w:t>
      </w:r>
      <w:r w:rsidR="005166B8">
        <w:t>0</w:t>
      </w:r>
      <w:r w:rsidR="00452FBE" w:rsidRPr="00E87162">
        <w:t>k per annum</w:t>
      </w:r>
      <w:r>
        <w:t xml:space="preserve">, the Trust does not need to do any fundraising. </w:t>
      </w:r>
      <w:r w:rsidR="00BB4076">
        <w:t>In addition to</w:t>
      </w:r>
      <w:r w:rsidR="00452FBE" w:rsidRPr="00E87162">
        <w:t xml:space="preserve"> retaining ownership of its major asset, the School, the Trust also benefits from ample financial reserves, currently invested to provide additional income.</w:t>
      </w:r>
    </w:p>
    <w:p w14:paraId="5960E39C" w14:textId="4A3D47EB" w:rsidR="00452FBE" w:rsidRPr="00E87162" w:rsidRDefault="00615FD3" w:rsidP="00381CC6">
      <w:pPr>
        <w:pStyle w:val="Heading2"/>
        <w:ind w:left="284" w:right="-227"/>
        <w:jc w:val="left"/>
      </w:pPr>
      <w:bookmarkStart w:id="1" w:name="_Toc142919642"/>
      <w:r>
        <w:t xml:space="preserve">More </w:t>
      </w:r>
      <w:r w:rsidR="00452FBE" w:rsidRPr="00E87162">
        <w:t>Recent Changes</w:t>
      </w:r>
      <w:bookmarkEnd w:id="1"/>
    </w:p>
    <w:p w14:paraId="6CEA3997" w14:textId="3C5C3515" w:rsidR="00452FBE" w:rsidRPr="00E87162" w:rsidRDefault="00452FBE" w:rsidP="00381CC6">
      <w:pPr>
        <w:ind w:left="284" w:right="-227"/>
        <w:jc w:val="left"/>
      </w:pPr>
      <w:r w:rsidRPr="00E87162">
        <w:t xml:space="preserve">When the new arrangement was introduced, the Trust concentrated on grants for individual children whose education was adversely affected by the circumstances of their parents’ service.  In recent years, however, the Trust </w:t>
      </w:r>
      <w:r w:rsidR="005166B8">
        <w:t>also sought</w:t>
      </w:r>
      <w:r w:rsidRPr="00E87162">
        <w:t xml:space="preserve"> ways of making collective grants to single or groups of educational establishments </w:t>
      </w:r>
      <w:proofErr w:type="gramStart"/>
      <w:r w:rsidRPr="00E87162">
        <w:t>in order to</w:t>
      </w:r>
      <w:proofErr w:type="gramEnd"/>
      <w:r w:rsidRPr="00E87162">
        <w:t xml:space="preserve"> help the broadest possible range of service children</w:t>
      </w:r>
      <w:r w:rsidR="00EA1AC5">
        <w:t xml:space="preserve">. In addition, </w:t>
      </w:r>
      <w:r w:rsidR="005166B8">
        <w:t xml:space="preserve">many of our individual grants are </w:t>
      </w:r>
      <w:r w:rsidR="00EA1AC5">
        <w:t xml:space="preserve">now </w:t>
      </w:r>
      <w:r w:rsidR="005166B8">
        <w:t>supporting service children in state schools.</w:t>
      </w:r>
    </w:p>
    <w:p w14:paraId="3926E170" w14:textId="7279D8E4" w:rsidR="007105A1" w:rsidRDefault="00452FBE" w:rsidP="005166B8">
      <w:pPr>
        <w:ind w:left="284" w:right="-227"/>
        <w:jc w:val="left"/>
      </w:pPr>
      <w:r w:rsidRPr="00E87162">
        <w:t>In parallel with these developments, it was no longer appropriate for the Trust to be identified with a School that no longer existed.  Accordingly, in 2017 the Charity Commission agreed that the Trust could be re-named as the Armed Forces Education Trust, with a new set of objects which more accurately reflected its aims.  At the same time the Trust changed its status to become a charitable incorporated organisation.</w:t>
      </w:r>
    </w:p>
    <w:p w14:paraId="5C908CA3" w14:textId="25473E1F" w:rsidR="00452FBE" w:rsidRPr="00E87162" w:rsidRDefault="00452FBE" w:rsidP="00381CC6">
      <w:pPr>
        <w:ind w:left="284" w:right="-227"/>
        <w:jc w:val="left"/>
      </w:pPr>
      <w:r w:rsidRPr="00E87162">
        <w:t>The Trust’s charitable objects are as follows:</w:t>
      </w:r>
    </w:p>
    <w:p w14:paraId="30702FCB" w14:textId="77777777" w:rsidR="00452FBE" w:rsidRPr="003E0D62" w:rsidRDefault="00452FBE" w:rsidP="00381CC6">
      <w:pPr>
        <w:pStyle w:val="ListParagraph"/>
        <w:ind w:left="284" w:right="-227"/>
        <w:jc w:val="left"/>
        <w:rPr>
          <w:i/>
        </w:rPr>
      </w:pPr>
      <w:r w:rsidRPr="003E0D62">
        <w:rPr>
          <w:i/>
        </w:rPr>
        <w:t>For the public benefit the advancement of education (including social and physical training) of people under the age of 25 years who are or were dependents of serving or former members of the Armed Forces of the Crown in such ways as the charity trustees think fit, including by:</w:t>
      </w:r>
    </w:p>
    <w:p w14:paraId="5AE65A28" w14:textId="77777777" w:rsidR="00452FBE" w:rsidRPr="003E0D62" w:rsidRDefault="00452FBE" w:rsidP="00381CC6">
      <w:pPr>
        <w:pStyle w:val="ListParagraph"/>
        <w:ind w:left="284" w:right="-227"/>
        <w:jc w:val="left"/>
        <w:rPr>
          <w:i/>
        </w:rPr>
      </w:pPr>
    </w:p>
    <w:p w14:paraId="521DA173" w14:textId="77777777" w:rsidR="00452FBE" w:rsidRPr="003E0D62" w:rsidRDefault="00452FBE" w:rsidP="00381CC6">
      <w:pPr>
        <w:pStyle w:val="ListParagraph"/>
        <w:numPr>
          <w:ilvl w:val="0"/>
          <w:numId w:val="9"/>
        </w:numPr>
        <w:ind w:left="993" w:right="-227" w:hanging="709"/>
        <w:jc w:val="left"/>
        <w:rPr>
          <w:i/>
        </w:rPr>
      </w:pPr>
      <w:r w:rsidRPr="003E0D62">
        <w:rPr>
          <w:i/>
        </w:rPr>
        <w:t xml:space="preserve">awarding to such </w:t>
      </w:r>
      <w:proofErr w:type="gramStart"/>
      <w:r w:rsidRPr="003E0D62">
        <w:rPr>
          <w:i/>
        </w:rPr>
        <w:t>persons</w:t>
      </w:r>
      <w:proofErr w:type="gramEnd"/>
      <w:r w:rsidRPr="003E0D62">
        <w:rPr>
          <w:i/>
        </w:rPr>
        <w:t xml:space="preserve"> scholarships, maintenance allowances or grants tenable at any school, university, college or institution of higher or further education; </w:t>
      </w:r>
    </w:p>
    <w:p w14:paraId="55C7885A" w14:textId="77777777" w:rsidR="00452FBE" w:rsidRPr="003E0D62" w:rsidRDefault="00452FBE" w:rsidP="00381CC6">
      <w:pPr>
        <w:pStyle w:val="ListParagraph"/>
        <w:numPr>
          <w:ilvl w:val="0"/>
          <w:numId w:val="9"/>
        </w:numPr>
        <w:ind w:left="993" w:right="-227" w:hanging="709"/>
        <w:jc w:val="left"/>
        <w:rPr>
          <w:i/>
        </w:rPr>
      </w:pPr>
      <w:r w:rsidRPr="003E0D62">
        <w:rPr>
          <w:i/>
        </w:rPr>
        <w:t>providing their education (including the study of music or other arts), to undertake travel in furtherance of that education or to prepare for entry to any occupation, trade or profession on leaving any educational establishment;</w:t>
      </w:r>
    </w:p>
    <w:p w14:paraId="7CF8A5E7" w14:textId="02F8C514" w:rsidR="00452FBE" w:rsidRPr="003E0D62" w:rsidRDefault="00452FBE" w:rsidP="003E0D62">
      <w:pPr>
        <w:pStyle w:val="ListParagraph"/>
        <w:numPr>
          <w:ilvl w:val="0"/>
          <w:numId w:val="9"/>
        </w:numPr>
        <w:ind w:left="993" w:right="-227" w:hanging="709"/>
        <w:jc w:val="left"/>
        <w:rPr>
          <w:i/>
        </w:rPr>
      </w:pPr>
      <w:r w:rsidRPr="003E0D62">
        <w:rPr>
          <w:i/>
        </w:rPr>
        <w:lastRenderedPageBreak/>
        <w:t xml:space="preserve">providing to educational and training establishments secondary funding to enable additional resources (not otherwise available) to be made available to support the education of such persons. </w:t>
      </w:r>
    </w:p>
    <w:p w14:paraId="5C1B26DB" w14:textId="77777777" w:rsidR="00452FBE" w:rsidRPr="00E87162" w:rsidRDefault="00452FBE" w:rsidP="00381CC6">
      <w:pPr>
        <w:pStyle w:val="Heading2"/>
        <w:ind w:left="284" w:right="-227"/>
        <w:jc w:val="left"/>
      </w:pPr>
      <w:bookmarkStart w:id="2" w:name="_Toc142919643"/>
      <w:r w:rsidRPr="00E87162">
        <w:t>Management of the Trust</w:t>
      </w:r>
      <w:bookmarkEnd w:id="2"/>
    </w:p>
    <w:p w14:paraId="51105803" w14:textId="1198000A" w:rsidR="00452FBE" w:rsidRPr="00E87162" w:rsidRDefault="005166B8" w:rsidP="005166B8">
      <w:pPr>
        <w:ind w:left="284" w:right="-227"/>
        <w:jc w:val="left"/>
      </w:pPr>
      <w:r>
        <w:t xml:space="preserve">All of the </w:t>
      </w:r>
      <w:proofErr w:type="gramStart"/>
      <w:r>
        <w:t>Trust’s day</w:t>
      </w:r>
      <w:proofErr w:type="gramEnd"/>
      <w:r>
        <w:t xml:space="preserve"> to day activities are managed by the, part-time</w:t>
      </w:r>
      <w:r w:rsidR="00452FBE" w:rsidRPr="00E87162">
        <w:t xml:space="preserve"> Chief </w:t>
      </w:r>
      <w:r w:rsidR="00067416">
        <w:t>Executive</w:t>
      </w:r>
      <w:r w:rsidR="00452FBE" w:rsidRPr="00E87162">
        <w:t xml:space="preserve"> Officer</w:t>
      </w:r>
      <w:r>
        <w:t xml:space="preserve"> (CEO). </w:t>
      </w:r>
      <w:r w:rsidR="00452FBE" w:rsidRPr="00E87162">
        <w:t xml:space="preserve">However, the Trustees retain a considerable role in not only fulfilling their duties of governance and oversight, but also in making informed decisions supported by the work of the </w:t>
      </w:r>
      <w:r w:rsidR="00067416">
        <w:t>CEO</w:t>
      </w:r>
      <w:r w:rsidR="00452FBE" w:rsidRPr="00E87162">
        <w:t xml:space="preserve"> on the wide range of applications, both individual and collective, that the Trust receives.</w:t>
      </w:r>
    </w:p>
    <w:p w14:paraId="56A2470D" w14:textId="77777777" w:rsidR="00452FBE" w:rsidRPr="00E87162" w:rsidRDefault="00452FBE" w:rsidP="00381CC6">
      <w:pPr>
        <w:pStyle w:val="Heading2"/>
        <w:ind w:left="284" w:right="-227"/>
        <w:jc w:val="left"/>
      </w:pPr>
      <w:bookmarkStart w:id="3" w:name="_Toc142919644"/>
      <w:r w:rsidRPr="00E87162">
        <w:t>Trustees Meetings</w:t>
      </w:r>
      <w:bookmarkEnd w:id="3"/>
    </w:p>
    <w:p w14:paraId="6E51A479" w14:textId="6090E996" w:rsidR="00452FBE" w:rsidRPr="00E87162" w:rsidRDefault="00452FBE" w:rsidP="00381CC6">
      <w:pPr>
        <w:ind w:left="284" w:right="-227"/>
        <w:jc w:val="left"/>
      </w:pPr>
      <w:r w:rsidRPr="00E87162">
        <w:t xml:space="preserve">The Board of Trustees meets regularly as well as conducting </w:t>
      </w:r>
      <w:r w:rsidR="00EA1AC5">
        <w:t>much</w:t>
      </w:r>
      <w:r w:rsidRPr="00E87162">
        <w:t xml:space="preserve"> business electronically.    There is an enthusiastic group of Trustees, </w:t>
      </w:r>
      <w:r w:rsidR="000C170C">
        <w:t>led by our</w:t>
      </w:r>
      <w:r w:rsidR="00BF6C7A">
        <w:t xml:space="preserve"> Chair</w:t>
      </w:r>
      <w:r w:rsidR="000C170C">
        <w:t>man</w:t>
      </w:r>
      <w:r w:rsidR="00BF6C7A">
        <w:t xml:space="preserve">, Alan </w:t>
      </w:r>
      <w:proofErr w:type="spellStart"/>
      <w:r w:rsidR="00BF6C7A">
        <w:t>Behagg</w:t>
      </w:r>
      <w:proofErr w:type="spellEnd"/>
      <w:r w:rsidR="00BF6C7A">
        <w:t xml:space="preserve">, </w:t>
      </w:r>
      <w:r w:rsidRPr="00E87162">
        <w:t>who was an Army officer in his first career, held a senior position in higher education in his second and additionally has experience of school governance.</w:t>
      </w:r>
      <w:r w:rsidR="007F4681">
        <w:t xml:space="preserve"> Under Alan’s Chairmanship, The Trust continues to </w:t>
      </w:r>
      <w:r w:rsidR="007F4681" w:rsidRPr="007F4681">
        <w:t>broaden its remit and raise its profile</w:t>
      </w:r>
      <w:r w:rsidR="007F4681">
        <w:t>.</w:t>
      </w:r>
    </w:p>
    <w:p w14:paraId="53F83C16" w14:textId="5DE54D00" w:rsidR="00452FBE" w:rsidRPr="00E87162" w:rsidRDefault="00452FBE" w:rsidP="00381CC6">
      <w:pPr>
        <w:ind w:left="284" w:right="-227"/>
        <w:jc w:val="left"/>
      </w:pPr>
      <w:r w:rsidRPr="00E87162">
        <w:t xml:space="preserve">Board meetings </w:t>
      </w:r>
      <w:r w:rsidR="005166B8">
        <w:t>are</w:t>
      </w:r>
      <w:r w:rsidRPr="00E87162">
        <w:t xml:space="preserve"> held in London </w:t>
      </w:r>
      <w:r w:rsidR="002E4E3D">
        <w:t>five</w:t>
      </w:r>
      <w:r w:rsidRPr="00E87162">
        <w:t xml:space="preserve"> times per year</w:t>
      </w:r>
      <w:r w:rsidR="005166B8">
        <w:t xml:space="preserve"> though we retain</w:t>
      </w:r>
      <w:r w:rsidR="00615FD3">
        <w:t xml:space="preserve"> </w:t>
      </w:r>
      <w:r w:rsidR="005166B8">
        <w:t xml:space="preserve">the </w:t>
      </w:r>
      <w:r w:rsidR="00615FD3">
        <w:t>flexibility and responsiveness</w:t>
      </w:r>
      <w:r w:rsidR="005166B8">
        <w:t xml:space="preserve"> afforded by </w:t>
      </w:r>
      <w:r w:rsidR="00EA1AC5">
        <w:t xml:space="preserve">additional </w:t>
      </w:r>
      <w:r w:rsidR="005166B8">
        <w:t>online meetings when necessary.</w:t>
      </w:r>
      <w:r w:rsidR="00615FD3">
        <w:t xml:space="preserve"> </w:t>
      </w:r>
    </w:p>
    <w:p w14:paraId="4E75CAA0" w14:textId="1EE955C6" w:rsidR="00452FBE" w:rsidRPr="00E87162" w:rsidRDefault="00452FBE" w:rsidP="00381CC6">
      <w:pPr>
        <w:ind w:left="284" w:right="-227"/>
        <w:jc w:val="left"/>
      </w:pPr>
      <w:r w:rsidRPr="00E87162">
        <w:t>The Trust’s financial affairs are overseen by a Treasurer who is a former finance director of a large charity, with previous experience with the London Stock Exchange and one of the major accountancy firms.</w:t>
      </w:r>
    </w:p>
    <w:p w14:paraId="34DB5DE7" w14:textId="68A9E5E5" w:rsidR="00452FBE" w:rsidRPr="00E87162" w:rsidRDefault="00452FBE" w:rsidP="00381CC6">
      <w:pPr>
        <w:ind w:left="284" w:right="-227"/>
        <w:jc w:val="left"/>
      </w:pPr>
      <w:r w:rsidRPr="00E87162">
        <w:t xml:space="preserve">The other trustees all come from relevant backgrounds and bring a wide range of experience from the Services, education, </w:t>
      </w:r>
      <w:proofErr w:type="gramStart"/>
      <w:r w:rsidR="005166B8">
        <w:t>business</w:t>
      </w:r>
      <w:proofErr w:type="gramEnd"/>
      <w:r w:rsidR="005166B8">
        <w:t xml:space="preserve"> and the Civil Service</w:t>
      </w:r>
      <w:r w:rsidRPr="00E87162">
        <w:t>.   They are currently assisted in their decision-making by an experienced Head Teacher who acts as the Board’s Education Advisor</w:t>
      </w:r>
      <w:r w:rsidR="00615FD3">
        <w:t xml:space="preserve"> and a retired Estate Director who advises on property matters.</w:t>
      </w:r>
    </w:p>
    <w:p w14:paraId="5EAE4926" w14:textId="77777777" w:rsidR="00452FBE" w:rsidRPr="00E87162" w:rsidRDefault="00452FBE" w:rsidP="00381CC6">
      <w:pPr>
        <w:pStyle w:val="Heading2"/>
        <w:ind w:left="284" w:right="-227"/>
        <w:jc w:val="left"/>
      </w:pPr>
      <w:bookmarkStart w:id="4" w:name="_Toc142919645"/>
      <w:r w:rsidRPr="00E87162">
        <w:t>Future of the Trust</w:t>
      </w:r>
      <w:bookmarkEnd w:id="4"/>
    </w:p>
    <w:p w14:paraId="2C00F2F3" w14:textId="4304323D" w:rsidR="00452FBE" w:rsidRPr="00E87162" w:rsidRDefault="00452FBE" w:rsidP="00381CC6">
      <w:pPr>
        <w:ind w:left="284" w:right="-227"/>
        <w:jc w:val="left"/>
      </w:pPr>
      <w:r w:rsidRPr="00E87162">
        <w:t>The Trust is thus well positioned to fulfil its role</w:t>
      </w:r>
      <w:r w:rsidR="00615FD3">
        <w:t xml:space="preserve">, </w:t>
      </w:r>
      <w:r w:rsidRPr="00E87162">
        <w:t xml:space="preserve">with significant secure income and ample reserves, excellent managerial support and an enthusiastic and well-informed group of trustees and advisors.  It is continually seeking to broaden its scope and networks and </w:t>
      </w:r>
      <w:r w:rsidR="00615FD3">
        <w:t>look for opportunities</w:t>
      </w:r>
      <w:r w:rsidRPr="00E87162">
        <w:t xml:space="preserve"> to form alliances with charities whose objects may enable them to work alongside the Trust in its grant giving.</w:t>
      </w:r>
    </w:p>
    <w:p w14:paraId="18437469" w14:textId="6F690327" w:rsidR="00452FBE" w:rsidRPr="00E87162" w:rsidRDefault="00452FBE" w:rsidP="00381CC6">
      <w:pPr>
        <w:ind w:left="284" w:right="-227"/>
        <w:jc w:val="left"/>
      </w:pPr>
      <w:r w:rsidRPr="00E87162">
        <w:t xml:space="preserve">However, there is consensus among the Trustees that their role could be enhanced by increasing the expertise available as the decisions they are called on to make become more complex and, on occasion, difficult.   This is particularly the case as the Trust seeks </w:t>
      </w:r>
      <w:r w:rsidR="005166B8">
        <w:t>increase its</w:t>
      </w:r>
      <w:r w:rsidRPr="00E87162">
        <w:t xml:space="preserve"> grants </w:t>
      </w:r>
      <w:r w:rsidR="005166B8">
        <w:t xml:space="preserve">to schools </w:t>
      </w:r>
      <w:r w:rsidR="00EA1AC5">
        <w:t>where</w:t>
      </w:r>
      <w:r w:rsidRPr="00E87162">
        <w:t xml:space="preserve"> </w:t>
      </w:r>
      <w:r w:rsidR="00307848">
        <w:t>increased need in a</w:t>
      </w:r>
      <w:r w:rsidR="005166B8">
        <w:t xml:space="preserve"> challenging financial environment </w:t>
      </w:r>
      <w:r w:rsidR="00307848">
        <w:t xml:space="preserve">frequently </w:t>
      </w:r>
      <w:r w:rsidRPr="00E87162">
        <w:t>overlap</w:t>
      </w:r>
      <w:r w:rsidR="00307848">
        <w:t>s</w:t>
      </w:r>
      <w:r w:rsidRPr="00E87162">
        <w:t xml:space="preserve"> with the spheres of social care, deprivation, mental </w:t>
      </w:r>
      <w:proofErr w:type="gramStart"/>
      <w:r w:rsidRPr="00E87162">
        <w:t>health</w:t>
      </w:r>
      <w:proofErr w:type="gramEnd"/>
      <w:r w:rsidRPr="00E87162">
        <w:t xml:space="preserve"> and other issues.</w:t>
      </w:r>
      <w:r w:rsidR="005166B8">
        <w:t xml:space="preserve"> </w:t>
      </w:r>
    </w:p>
    <w:p w14:paraId="6ED5A620" w14:textId="77777777" w:rsidR="00452FBE" w:rsidRPr="00E87162" w:rsidRDefault="00452FBE" w:rsidP="00381CC6">
      <w:pPr>
        <w:pStyle w:val="Heading2"/>
        <w:ind w:left="284" w:right="-227"/>
        <w:jc w:val="left"/>
      </w:pPr>
      <w:bookmarkStart w:id="5" w:name="_Toc142919646"/>
      <w:r w:rsidRPr="00E87162">
        <w:t>Trustee Recruitment</w:t>
      </w:r>
      <w:bookmarkEnd w:id="5"/>
    </w:p>
    <w:p w14:paraId="2E1302C9" w14:textId="5A32F47C" w:rsidR="00452FBE" w:rsidRPr="00E87162" w:rsidRDefault="00452FBE" w:rsidP="00381CC6">
      <w:pPr>
        <w:ind w:left="284" w:right="-227"/>
        <w:jc w:val="left"/>
      </w:pPr>
      <w:r w:rsidRPr="00E87162">
        <w:t xml:space="preserve">The Trust is now seeking to recruit at </w:t>
      </w:r>
      <w:r w:rsidR="00EA1AC5">
        <w:t>three</w:t>
      </w:r>
      <w:r w:rsidRPr="00E87162">
        <w:t xml:space="preserve"> additional trustees to broaden the expertise of its board and support its deliberations and decision-making, as well of course as helping with the routine governance that any charity needs.</w:t>
      </w:r>
    </w:p>
    <w:p w14:paraId="2A5E97A9" w14:textId="77777777" w:rsidR="00452FBE" w:rsidRPr="00E87162" w:rsidRDefault="00452FBE" w:rsidP="00381CC6">
      <w:pPr>
        <w:pStyle w:val="Heading2"/>
        <w:ind w:left="284" w:right="-227"/>
        <w:jc w:val="left"/>
      </w:pPr>
      <w:bookmarkStart w:id="6" w:name="_Toc142919647"/>
      <w:r w:rsidRPr="00E87162">
        <w:lastRenderedPageBreak/>
        <w:t>Trustee Responsibilities</w:t>
      </w:r>
      <w:bookmarkEnd w:id="6"/>
    </w:p>
    <w:p w14:paraId="024B2571" w14:textId="77777777" w:rsidR="009F4118" w:rsidRDefault="009F4118" w:rsidP="00381CC6">
      <w:pPr>
        <w:pStyle w:val="Heading3"/>
        <w:ind w:left="284" w:right="-227"/>
        <w:jc w:val="left"/>
      </w:pPr>
      <w:bookmarkStart w:id="7" w:name="_Toc142919648"/>
      <w:r>
        <w:t>Information available</w:t>
      </w:r>
      <w:bookmarkEnd w:id="7"/>
    </w:p>
    <w:p w14:paraId="707C7A17" w14:textId="3D1C508E" w:rsidR="00E87162" w:rsidRDefault="00452FBE" w:rsidP="00381CC6">
      <w:pPr>
        <w:ind w:left="284" w:right="-227"/>
        <w:jc w:val="left"/>
      </w:pPr>
      <w:r w:rsidRPr="00E87162">
        <w:t xml:space="preserve">There is a great deal of published information available on the role and duties of trustees. The Charity Commission publish “The Essential Trustee: What you need to know, what you need to do” </w:t>
      </w:r>
    </w:p>
    <w:p w14:paraId="6487414C" w14:textId="339590E7" w:rsidR="00452FBE" w:rsidRPr="00E87162" w:rsidRDefault="00452FBE" w:rsidP="00381CC6">
      <w:pPr>
        <w:ind w:left="284" w:right="-227"/>
        <w:jc w:val="left"/>
      </w:pPr>
      <w:r w:rsidRPr="00E87162">
        <w:t>(</w:t>
      </w:r>
      <w:hyperlink r:id="rId12" w:history="1">
        <w:r w:rsidRPr="00E87162">
          <w:rPr>
            <w:rStyle w:val="Hyperlink"/>
          </w:rPr>
          <w:t>https://www.gov.uk/government/publications/the-essential-trustee-what-you-need-to-know-cc3</w:t>
        </w:r>
      </w:hyperlink>
      <w:r w:rsidRPr="00E87162">
        <w:rPr>
          <w:rStyle w:val="Hyperlink"/>
        </w:rPr>
        <w:t>.)</w:t>
      </w:r>
    </w:p>
    <w:p w14:paraId="33E0E04B" w14:textId="77777777" w:rsidR="00452FBE" w:rsidRPr="00E87162" w:rsidRDefault="00452FBE" w:rsidP="00381CC6">
      <w:pPr>
        <w:ind w:left="284" w:right="-227"/>
        <w:jc w:val="left"/>
        <w:rPr>
          <w:rStyle w:val="Hyperlink"/>
          <w:color w:val="5B9BD5" w:themeColor="accent1"/>
          <w:lang w:eastAsia="en-GB"/>
        </w:rPr>
      </w:pPr>
      <w:r w:rsidRPr="00E87162">
        <w:t>“The Essential Trustee” is also a useful aide memoire for the 6 main duties of a trustee. (</w:t>
      </w:r>
      <w:hyperlink r:id="rId13" w:history="1">
        <w:r w:rsidRPr="00E87162">
          <w:rPr>
            <w:rStyle w:val="Hyperlink"/>
            <w:lang w:eastAsia="en-GB"/>
          </w:rPr>
          <w:t>https://assets.publishing.service.gov.uk/government/uploads/system/uploads/attachment_data/file/544220/Jigsaw.pdf</w:t>
        </w:r>
      </w:hyperlink>
      <w:r w:rsidRPr="00E87162">
        <w:rPr>
          <w:rStyle w:val="Hyperlink"/>
          <w:color w:val="5B9BD5" w:themeColor="accent1"/>
          <w:lang w:eastAsia="en-GB"/>
        </w:rPr>
        <w:t>)</w:t>
      </w:r>
    </w:p>
    <w:p w14:paraId="77D23FF7" w14:textId="0317982E" w:rsidR="00E87162" w:rsidRDefault="00452FBE" w:rsidP="00381CC6">
      <w:pPr>
        <w:ind w:left="284" w:right="-227"/>
        <w:jc w:val="left"/>
        <w:rPr>
          <w:rStyle w:val="Hyperlink"/>
        </w:rPr>
      </w:pPr>
      <w:r w:rsidRPr="00E87162">
        <w:t>The Charity Commission’s “Charity Trustee Welcome Pack) is also a useful guide to what is required (</w:t>
      </w:r>
      <w:hyperlink r:id="rId14" w:history="1">
        <w:r w:rsidRPr="00E87162">
          <w:rPr>
            <w:rStyle w:val="Hyperlink"/>
          </w:rPr>
          <w:t>https://www.gov.uk/government/publications/charity-trustee-welcome-pack/charity-trustee-welcome-pack</w:t>
        </w:r>
      </w:hyperlink>
      <w:r w:rsidRPr="00E87162">
        <w:rPr>
          <w:rStyle w:val="Hyperlink"/>
        </w:rPr>
        <w:t xml:space="preserve">) </w:t>
      </w:r>
    </w:p>
    <w:p w14:paraId="3B35C087" w14:textId="77777777" w:rsidR="008971DC" w:rsidRDefault="008971DC" w:rsidP="00381CC6">
      <w:pPr>
        <w:ind w:left="284" w:right="-227"/>
        <w:jc w:val="left"/>
      </w:pPr>
    </w:p>
    <w:p w14:paraId="47AC8A5E" w14:textId="60220AEE" w:rsidR="00452FBE" w:rsidRDefault="00452FBE" w:rsidP="00381CC6">
      <w:pPr>
        <w:pStyle w:val="Heading3"/>
        <w:ind w:left="284" w:right="-227"/>
        <w:jc w:val="left"/>
      </w:pPr>
      <w:bookmarkStart w:id="8" w:name="_Toc142919649"/>
      <w:r w:rsidRPr="00E87162">
        <w:t>Specific responsibilities for Trustees</w:t>
      </w:r>
      <w:bookmarkEnd w:id="8"/>
    </w:p>
    <w:p w14:paraId="150A4540" w14:textId="5B5758B9" w:rsidR="00445D43" w:rsidRPr="00445D43" w:rsidRDefault="00445D43" w:rsidP="00381CC6">
      <w:pPr>
        <w:ind w:left="284" w:right="-227"/>
        <w:jc w:val="left"/>
      </w:pPr>
      <w:r>
        <w:t>Specific responsibilities for Trustees with the Trust include the following:</w:t>
      </w:r>
    </w:p>
    <w:p w14:paraId="4145083F" w14:textId="1B1C3FEB" w:rsidR="00452FBE" w:rsidRPr="00E87162" w:rsidRDefault="00452FBE" w:rsidP="00381CC6">
      <w:pPr>
        <w:pStyle w:val="bulletlist"/>
        <w:ind w:left="993" w:right="-227" w:hanging="709"/>
        <w:jc w:val="left"/>
      </w:pPr>
      <w:r w:rsidRPr="00E87162">
        <w:t>Serve on the Board of the Trust</w:t>
      </w:r>
      <w:r w:rsidR="00EA008C">
        <w:t>,</w:t>
      </w:r>
      <w:r w:rsidR="00E15661">
        <w:t xml:space="preserve"> </w:t>
      </w:r>
      <w:r w:rsidRPr="00E87162">
        <w:t>taking responsibility for directing the affairs of the Trust, ensuring that it is solvent, well-run and delivering the charitable outcomes for which it has been set up.</w:t>
      </w:r>
    </w:p>
    <w:p w14:paraId="105A3966" w14:textId="22C089B9" w:rsidR="00452FBE" w:rsidRPr="00E87162" w:rsidRDefault="00452FBE" w:rsidP="00381CC6">
      <w:pPr>
        <w:pStyle w:val="bulletlist"/>
        <w:ind w:left="993" w:right="-227" w:hanging="709"/>
        <w:jc w:val="left"/>
      </w:pPr>
      <w:r w:rsidRPr="00E87162">
        <w:t>Use their skills, knowledge and experience to help shape the development of the Trust and enabl</w:t>
      </w:r>
      <w:r w:rsidR="00313077">
        <w:t>ing it to reach sound decisions and providing</w:t>
      </w:r>
      <w:r w:rsidR="00313077" w:rsidRPr="00E87162">
        <w:t xml:space="preserve"> guidance where appropriate on new initiatives.</w:t>
      </w:r>
    </w:p>
    <w:p w14:paraId="7058AFBB" w14:textId="77777777" w:rsidR="00452FBE" w:rsidRPr="00E87162" w:rsidRDefault="00452FBE" w:rsidP="00381CC6">
      <w:pPr>
        <w:pStyle w:val="bulletlist"/>
        <w:ind w:left="993" w:right="-227" w:hanging="709"/>
        <w:jc w:val="left"/>
      </w:pPr>
      <w:r w:rsidRPr="00E87162">
        <w:t>Act as an ambassador for the Trust, safeguard its good name and values, and use their networks where possible to inform and promote its work.</w:t>
      </w:r>
    </w:p>
    <w:p w14:paraId="155A832F" w14:textId="06669085" w:rsidR="00452FBE" w:rsidRPr="00E87162" w:rsidRDefault="00313077" w:rsidP="00381CC6">
      <w:pPr>
        <w:pStyle w:val="bulletlist"/>
        <w:ind w:left="993" w:right="-227" w:hanging="709"/>
        <w:jc w:val="left"/>
      </w:pPr>
      <w:r>
        <w:t>Contribute</w:t>
      </w:r>
      <w:r w:rsidR="00452FBE" w:rsidRPr="00E87162">
        <w:t xml:space="preserve"> to the strategic direction of the Trust, setting overall policies, defining goals, setting targets and evaluating progress.</w:t>
      </w:r>
    </w:p>
    <w:p w14:paraId="72992CE7" w14:textId="44D61973" w:rsidR="00313077" w:rsidRDefault="00452FBE" w:rsidP="00381CC6">
      <w:pPr>
        <w:pStyle w:val="bulletlist"/>
        <w:ind w:left="993" w:right="-227" w:hanging="709"/>
        <w:jc w:val="left"/>
      </w:pPr>
      <w:r w:rsidRPr="00E87162">
        <w:t>Scrutinise Board and other relevant papers</w:t>
      </w:r>
      <w:r w:rsidR="00002F34">
        <w:t xml:space="preserve"> and applications</w:t>
      </w:r>
      <w:r w:rsidRPr="00E87162">
        <w:t xml:space="preserve"> and contribute positively to all discussions.</w:t>
      </w:r>
      <w:r w:rsidR="00313077" w:rsidRPr="00313077">
        <w:t xml:space="preserve"> </w:t>
      </w:r>
    </w:p>
    <w:p w14:paraId="1911B537" w14:textId="5B7F756F" w:rsidR="00313077" w:rsidRPr="00313077" w:rsidRDefault="00313077" w:rsidP="00381CC6">
      <w:pPr>
        <w:pStyle w:val="bulletlist"/>
        <w:ind w:left="993" w:right="-227" w:hanging="709"/>
        <w:jc w:val="left"/>
      </w:pPr>
      <w:r w:rsidRPr="00313077">
        <w:t>Ensuring that the organisation complies with its governing document (</w:t>
      </w:r>
      <w:proofErr w:type="spellStart"/>
      <w:r w:rsidRPr="00313077">
        <w:t>ie</w:t>
      </w:r>
      <w:proofErr w:type="spellEnd"/>
      <w:r w:rsidRPr="00313077">
        <w:t xml:space="preserve"> its constitution or memorandum and articles of association), charity law, company law and any other relevant legislation or regulations</w:t>
      </w:r>
      <w:r w:rsidR="00002F34">
        <w:t>.</w:t>
      </w:r>
    </w:p>
    <w:p w14:paraId="342F9A35" w14:textId="77777777" w:rsidR="00002F34" w:rsidRDefault="00313077" w:rsidP="00002F34">
      <w:pPr>
        <w:pStyle w:val="bulletlist"/>
        <w:ind w:left="993" w:right="-227" w:hanging="709"/>
        <w:jc w:val="left"/>
      </w:pPr>
      <w:r>
        <w:t>Protecting and managing</w:t>
      </w:r>
      <w:r w:rsidRPr="00ED2141">
        <w:t xml:space="preserve"> the property of the charity and </w:t>
      </w:r>
      <w:r>
        <w:t xml:space="preserve">ensuring </w:t>
      </w:r>
      <w:r w:rsidRPr="00ED2141">
        <w:t>the proper inv</w:t>
      </w:r>
      <w:r>
        <w:t>estment of the charity’s fund</w:t>
      </w:r>
      <w:r w:rsidR="00E15661">
        <w:t>s.</w:t>
      </w:r>
    </w:p>
    <w:p w14:paraId="1924730A" w14:textId="294F1FB0" w:rsidR="00002F34" w:rsidRDefault="00002F34" w:rsidP="00002F34">
      <w:pPr>
        <w:pStyle w:val="bulletlist"/>
        <w:ind w:left="993" w:right="-227" w:hanging="709"/>
        <w:jc w:val="left"/>
      </w:pPr>
      <w:r w:rsidRPr="00002F34">
        <w:t>Ensure the continuing relevance of the Trusts’ strategy and compliance with objectives, purposes and values of the organisation</w:t>
      </w:r>
      <w:r>
        <w:t>.</w:t>
      </w:r>
    </w:p>
    <w:p w14:paraId="30BBB5B1" w14:textId="7A159702" w:rsidR="00002F34" w:rsidRPr="00E87162" w:rsidRDefault="00002F34" w:rsidP="00002F34">
      <w:pPr>
        <w:pStyle w:val="bulletlist"/>
        <w:ind w:left="993" w:right="-227" w:hanging="709"/>
        <w:jc w:val="left"/>
      </w:pPr>
      <w:r w:rsidRPr="00002F34">
        <w:t>Approve policies, plans and budgets to achieve these objectives, and monitor performance against them</w:t>
      </w:r>
      <w:r>
        <w:t>.</w:t>
      </w:r>
    </w:p>
    <w:p w14:paraId="7C876B21" w14:textId="77777777" w:rsidR="00503309" w:rsidRDefault="00452FBE" w:rsidP="00381CC6">
      <w:pPr>
        <w:pStyle w:val="bulletlist"/>
        <w:ind w:left="993" w:right="-227" w:hanging="709"/>
        <w:jc w:val="left"/>
      </w:pPr>
      <w:r w:rsidRPr="00E87162">
        <w:t xml:space="preserve">Work in partnership with other trustees to oversee and monitor the </w:t>
      </w:r>
      <w:r w:rsidR="00313077">
        <w:t xml:space="preserve">effective and efficient </w:t>
      </w:r>
      <w:r w:rsidRPr="00E87162">
        <w:t xml:space="preserve">management </w:t>
      </w:r>
      <w:r w:rsidR="00313077">
        <w:t>and administration of the Trust.</w:t>
      </w:r>
    </w:p>
    <w:p w14:paraId="30177242" w14:textId="50BE4439" w:rsidR="00313077" w:rsidRPr="00E87162" w:rsidRDefault="00313077" w:rsidP="00381CC6">
      <w:pPr>
        <w:pStyle w:val="bulletlist"/>
        <w:ind w:left="993" w:right="-227" w:hanging="709"/>
        <w:jc w:val="left"/>
      </w:pPr>
      <w:r>
        <w:t>Following</w:t>
      </w:r>
      <w:r w:rsidRPr="00ED2141">
        <w:t xml:space="preserve"> proper and formal arrangements for the appointment, supervision, support, appraisal and remuneration of the </w:t>
      </w:r>
      <w:r w:rsidR="00204F43">
        <w:t>any employees</w:t>
      </w:r>
      <w:r w:rsidR="00503309">
        <w:t>.</w:t>
      </w:r>
    </w:p>
    <w:p w14:paraId="0354054D" w14:textId="77777777" w:rsidR="00452FBE" w:rsidRPr="00E87162" w:rsidRDefault="00452FBE" w:rsidP="00381CC6">
      <w:pPr>
        <w:pStyle w:val="Heading2"/>
        <w:ind w:left="284" w:right="-227"/>
        <w:jc w:val="left"/>
      </w:pPr>
      <w:bookmarkStart w:id="9" w:name="_Toc142919650"/>
      <w:r w:rsidRPr="00E87162">
        <w:lastRenderedPageBreak/>
        <w:t>Person Specification</w:t>
      </w:r>
      <w:bookmarkEnd w:id="9"/>
    </w:p>
    <w:p w14:paraId="495BFFFD" w14:textId="397C6379" w:rsidR="00452FBE" w:rsidRDefault="00445D43" w:rsidP="00381CC6">
      <w:pPr>
        <w:pStyle w:val="Heading3"/>
        <w:ind w:left="284" w:right="-227"/>
        <w:jc w:val="left"/>
      </w:pPr>
      <w:bookmarkStart w:id="10" w:name="_Toc142919651"/>
      <w:r>
        <w:t>E</w:t>
      </w:r>
      <w:r w:rsidR="00452FBE" w:rsidRPr="00E87162">
        <w:t>ssential attributes</w:t>
      </w:r>
      <w:bookmarkEnd w:id="10"/>
    </w:p>
    <w:p w14:paraId="543E4AA9" w14:textId="1EF345E7" w:rsidR="00445D43" w:rsidRPr="00445D43" w:rsidRDefault="00445D43" w:rsidP="00381CC6">
      <w:pPr>
        <w:ind w:left="284" w:right="-227"/>
        <w:jc w:val="left"/>
      </w:pPr>
      <w:r>
        <w:t>The following are considered to be attributes essential for any Trustee of the Trust:</w:t>
      </w:r>
    </w:p>
    <w:p w14:paraId="497E0E46" w14:textId="003C9BFA" w:rsidR="00452FBE" w:rsidRPr="00204F43" w:rsidRDefault="00452FBE" w:rsidP="00381CC6">
      <w:pPr>
        <w:pStyle w:val="bulletlist"/>
        <w:ind w:left="993" w:right="-227" w:hanging="709"/>
        <w:jc w:val="left"/>
      </w:pPr>
      <w:r w:rsidRPr="00204F43">
        <w:t>Commitment to the</w:t>
      </w:r>
      <w:r w:rsidR="00C45F60" w:rsidRPr="00204F43">
        <w:t xml:space="preserve"> Trust, </w:t>
      </w:r>
      <w:r w:rsidR="00960C93">
        <w:t xml:space="preserve">and </w:t>
      </w:r>
      <w:r w:rsidR="00C45F60" w:rsidRPr="00204F43">
        <w:t>its</w:t>
      </w:r>
      <w:r w:rsidRPr="00204F43">
        <w:t xml:space="preserve"> </w:t>
      </w:r>
      <w:r w:rsidR="00960C93">
        <w:t xml:space="preserve">strategic </w:t>
      </w:r>
      <w:r w:rsidRPr="00204F43">
        <w:t>vision</w:t>
      </w:r>
      <w:r w:rsidR="00960C93">
        <w:t>;</w:t>
      </w:r>
    </w:p>
    <w:p w14:paraId="03F65D03" w14:textId="77777777" w:rsidR="00452FBE" w:rsidRPr="00204F43" w:rsidRDefault="00452FBE" w:rsidP="00381CC6">
      <w:pPr>
        <w:pStyle w:val="bulletlist"/>
        <w:ind w:left="993" w:right="-227" w:hanging="709"/>
        <w:jc w:val="left"/>
      </w:pPr>
      <w:r w:rsidRPr="00204F43">
        <w:t>Empathy for the Armed Services and commitment to the cause of helping children whose education may be disadvantaged as a result of the circumstance of their parents’ service.</w:t>
      </w:r>
    </w:p>
    <w:p w14:paraId="46C786C7" w14:textId="0E2E15DC" w:rsidR="00452FBE" w:rsidRPr="00204F43" w:rsidRDefault="00452FBE" w:rsidP="00381CC6">
      <w:pPr>
        <w:pStyle w:val="bulletlist"/>
        <w:ind w:left="993" w:right="-227" w:hanging="709"/>
        <w:jc w:val="left"/>
      </w:pPr>
      <w:r w:rsidRPr="00204F43">
        <w:t>Integrity, strategic vision, good independent judgement and a willingness to contribute</w:t>
      </w:r>
    </w:p>
    <w:p w14:paraId="7976D761" w14:textId="77777777" w:rsidR="00313077" w:rsidRPr="00204F43" w:rsidRDefault="00313077" w:rsidP="00381CC6">
      <w:pPr>
        <w:pStyle w:val="bulletlist"/>
        <w:ind w:left="993" w:right="-227" w:hanging="709"/>
        <w:jc w:val="left"/>
      </w:pPr>
      <w:r w:rsidRPr="00204F43">
        <w:t xml:space="preserve">An understanding and acceptance of the legal duties, responsibilities and liabilities of trusteeship </w:t>
      </w:r>
    </w:p>
    <w:p w14:paraId="5F319C59" w14:textId="77777777" w:rsidR="00313077" w:rsidRPr="00204F43" w:rsidRDefault="00313077" w:rsidP="00381CC6">
      <w:pPr>
        <w:pStyle w:val="bulletlist"/>
        <w:ind w:left="993" w:right="-227" w:hanging="709"/>
        <w:jc w:val="left"/>
      </w:pPr>
      <w:r w:rsidRPr="00204F43">
        <w:t xml:space="preserve">An ability to work effectively as a member of a team </w:t>
      </w:r>
    </w:p>
    <w:p w14:paraId="5D8FBC31" w14:textId="5741FB02" w:rsidR="00313077" w:rsidRPr="009F4118" w:rsidRDefault="00313077" w:rsidP="00381CC6">
      <w:pPr>
        <w:pStyle w:val="bulletlist"/>
        <w:numPr>
          <w:ilvl w:val="0"/>
          <w:numId w:val="0"/>
        </w:numPr>
        <w:ind w:left="284" w:right="-227"/>
        <w:jc w:val="left"/>
      </w:pPr>
    </w:p>
    <w:p w14:paraId="6F8A49F2" w14:textId="5C5671AC" w:rsidR="00452FBE" w:rsidRDefault="00452FBE" w:rsidP="00381CC6">
      <w:pPr>
        <w:pStyle w:val="Heading3"/>
        <w:ind w:left="284" w:right="-227"/>
        <w:jc w:val="left"/>
      </w:pPr>
      <w:bookmarkStart w:id="11" w:name="_Toc142919652"/>
      <w:r w:rsidRPr="00445D43">
        <w:t>Desirable attributes</w:t>
      </w:r>
      <w:bookmarkEnd w:id="11"/>
    </w:p>
    <w:p w14:paraId="7B53C932" w14:textId="1F211B38" w:rsidR="00445D43" w:rsidRDefault="00410373" w:rsidP="00381CC6">
      <w:pPr>
        <w:ind w:left="284" w:right="-227"/>
        <w:jc w:val="left"/>
      </w:pPr>
      <w:r w:rsidRPr="00E87162">
        <w:t xml:space="preserve">The Trustees wish to invite applications from the widest range possible of applicants:  the primary requirements are wise judgement, broad </w:t>
      </w:r>
      <w:proofErr w:type="gramStart"/>
      <w:r w:rsidRPr="00E87162">
        <w:t>experience</w:t>
      </w:r>
      <w:proofErr w:type="gramEnd"/>
      <w:r w:rsidRPr="00E87162">
        <w:t xml:space="preserve"> and common sense.</w:t>
      </w:r>
      <w:r>
        <w:t xml:space="preserve"> </w:t>
      </w:r>
    </w:p>
    <w:p w14:paraId="5924B5AD" w14:textId="5D1989C2" w:rsidR="00410373" w:rsidRPr="00445D43" w:rsidRDefault="000F2BAE" w:rsidP="00381CC6">
      <w:pPr>
        <w:ind w:left="284" w:right="-227"/>
        <w:jc w:val="left"/>
      </w:pPr>
      <w:r>
        <w:t>However, k</w:t>
      </w:r>
      <w:r w:rsidR="00410373">
        <w:t xml:space="preserve">nowledge of the following would be </w:t>
      </w:r>
      <w:r w:rsidR="00134032">
        <w:t>desirable</w:t>
      </w:r>
      <w:r w:rsidR="00410373">
        <w:t>:</w:t>
      </w:r>
    </w:p>
    <w:p w14:paraId="6BF51355" w14:textId="4CAE85E8" w:rsidR="00452FBE" w:rsidRPr="00E87162" w:rsidRDefault="00907589" w:rsidP="00381CC6">
      <w:pPr>
        <w:pStyle w:val="bulletlist"/>
        <w:ind w:left="993" w:right="-227" w:hanging="709"/>
        <w:jc w:val="left"/>
      </w:pPr>
      <w:r>
        <w:t>Some</w:t>
      </w:r>
      <w:r w:rsidR="00452FBE" w:rsidRPr="00E87162">
        <w:t xml:space="preserve"> understanding of the Services’ life and ethos</w:t>
      </w:r>
      <w:r w:rsidR="002D2052">
        <w:t>, and in particular the experiences of service children in education,</w:t>
      </w:r>
      <w:r w:rsidR="00452FBE" w:rsidRPr="00E87162">
        <w:t xml:space="preserve"> would be an advantage.</w:t>
      </w:r>
    </w:p>
    <w:p w14:paraId="33F3A236" w14:textId="77777777" w:rsidR="00452FBE" w:rsidRPr="00E87162" w:rsidRDefault="00452FBE" w:rsidP="00381CC6">
      <w:pPr>
        <w:pStyle w:val="bulletlist"/>
        <w:ind w:left="993" w:right="-227" w:hanging="709"/>
        <w:jc w:val="left"/>
      </w:pPr>
      <w:r w:rsidRPr="00E87162">
        <w:t>Up to date experience or knowledge of one or both of the primary or secondary education sector.</w:t>
      </w:r>
    </w:p>
    <w:p w14:paraId="24A2AEB0" w14:textId="009BAF22" w:rsidR="00452FBE" w:rsidRPr="00E87162" w:rsidRDefault="00452FBE" w:rsidP="00381CC6">
      <w:pPr>
        <w:pStyle w:val="bulletlist"/>
        <w:ind w:left="993" w:right="-227" w:hanging="709"/>
        <w:jc w:val="left"/>
      </w:pPr>
      <w:r w:rsidRPr="00E87162">
        <w:t>Knowledge of funding in both the educational sphere and also how MOD funding interacts with it.</w:t>
      </w:r>
    </w:p>
    <w:p w14:paraId="55B39B3B" w14:textId="77777777" w:rsidR="00452FBE" w:rsidRPr="00E87162" w:rsidRDefault="00452FBE" w:rsidP="00381CC6">
      <w:pPr>
        <w:pStyle w:val="Heading2"/>
        <w:ind w:left="284" w:right="-227"/>
        <w:jc w:val="left"/>
      </w:pPr>
      <w:bookmarkStart w:id="12" w:name="_Toc142919653"/>
      <w:r w:rsidRPr="00E87162">
        <w:t>Personal Commitment</w:t>
      </w:r>
      <w:bookmarkEnd w:id="12"/>
    </w:p>
    <w:p w14:paraId="77796095" w14:textId="71D61804" w:rsidR="00452FBE" w:rsidRPr="00E87162" w:rsidRDefault="00452FBE" w:rsidP="00D94702">
      <w:pPr>
        <w:ind w:left="284" w:right="-227"/>
        <w:jc w:val="left"/>
      </w:pPr>
      <w:r w:rsidRPr="00E87162">
        <w:t xml:space="preserve">The Board holds </w:t>
      </w:r>
      <w:r w:rsidR="00204F43">
        <w:t xml:space="preserve">Trustees’ </w:t>
      </w:r>
      <w:r w:rsidRPr="00E87162">
        <w:t xml:space="preserve">meetings </w:t>
      </w:r>
      <w:r w:rsidR="002E4E3D">
        <w:t>five</w:t>
      </w:r>
      <w:r w:rsidRPr="00E87162">
        <w:t xml:space="preserve"> times per year, one of which includes the AGM.</w:t>
      </w:r>
      <w:r w:rsidR="002D2052">
        <w:t xml:space="preserve"> In addition</w:t>
      </w:r>
      <w:r w:rsidR="00E15661">
        <w:t>,</w:t>
      </w:r>
      <w:r w:rsidR="002D2052">
        <w:t xml:space="preserve"> there may be extra grants’ decision meetings held online as and when required</w:t>
      </w:r>
      <w:r w:rsidR="00E0710C">
        <w:t>,</w:t>
      </w:r>
      <w:r w:rsidR="00B37FBB">
        <w:t xml:space="preserve"> </w:t>
      </w:r>
      <w:r w:rsidR="00CB5AAB">
        <w:t>these</w:t>
      </w:r>
      <w:r w:rsidR="00D94702">
        <w:t xml:space="preserve"> meetings are</w:t>
      </w:r>
      <w:r w:rsidRPr="00E87162">
        <w:t xml:space="preserve"> normally </w:t>
      </w:r>
      <w:r w:rsidR="00D94702">
        <w:t xml:space="preserve">held on </w:t>
      </w:r>
      <w:r w:rsidRPr="00E87162">
        <w:t>weekdays, during school term times.  In addition, comments are from time to time sought by telephone or email on applications and other business in between meetings.  The amount of time spent on Trust business will vary from month to month as the workload from evaluating applications reflects the academic year but never exceeds a few hours.</w:t>
      </w:r>
    </w:p>
    <w:p w14:paraId="3D126F64" w14:textId="43BBBBD2" w:rsidR="00452FBE" w:rsidRPr="00E87162" w:rsidRDefault="002D2052" w:rsidP="00381CC6">
      <w:pPr>
        <w:ind w:left="284" w:right="-227"/>
        <w:jc w:val="left"/>
      </w:pPr>
      <w:r>
        <w:t>Face to face</w:t>
      </w:r>
      <w:r w:rsidR="00452FBE" w:rsidRPr="00E87162">
        <w:t xml:space="preserve"> meetings </w:t>
      </w:r>
      <w:proofErr w:type="gramStart"/>
      <w:r w:rsidR="00452FBE" w:rsidRPr="00E87162">
        <w:t>are</w:t>
      </w:r>
      <w:proofErr w:type="gramEnd"/>
      <w:r w:rsidR="00452FBE" w:rsidRPr="00E87162">
        <w:t xml:space="preserve"> normally held at the Union Jack Club in London, two minutes’ walk from Waterloo Station.</w:t>
      </w:r>
      <w:r w:rsidR="002E4E3D">
        <w:t xml:space="preserve"> </w:t>
      </w:r>
    </w:p>
    <w:p w14:paraId="760CCC0A" w14:textId="013B8400" w:rsidR="00452FBE" w:rsidRDefault="00452FBE" w:rsidP="00381CC6">
      <w:pPr>
        <w:ind w:left="284" w:right="-227"/>
        <w:jc w:val="left"/>
      </w:pPr>
      <w:r w:rsidRPr="00E87162">
        <w:t>Trustees are encouraged to find ways to improve their knowledge of the Education Sector</w:t>
      </w:r>
      <w:r w:rsidR="00204F43">
        <w:t xml:space="preserve"> as it affects Service children </w:t>
      </w:r>
      <w:proofErr w:type="gramStart"/>
      <w:r w:rsidR="00204F43">
        <w:t>and also</w:t>
      </w:r>
      <w:proofErr w:type="gramEnd"/>
      <w:r w:rsidR="00204F43">
        <w:t xml:space="preserve"> to spread the word regarding the Trust,</w:t>
      </w:r>
      <w:r w:rsidRPr="00E87162">
        <w:t xml:space="preserve"> by attending the occas</w:t>
      </w:r>
      <w:r w:rsidR="00204F43">
        <w:t>ional conference or other event</w:t>
      </w:r>
      <w:r w:rsidR="00204F43" w:rsidRPr="00204F43">
        <w:t xml:space="preserve"> </w:t>
      </w:r>
      <w:r w:rsidR="00204F43" w:rsidRPr="00E87162">
        <w:t>for example</w:t>
      </w:r>
      <w:r w:rsidR="002D2052">
        <w:t xml:space="preserve"> or by visiting one of the schools we give grants to.</w:t>
      </w:r>
    </w:p>
    <w:p w14:paraId="2F558927" w14:textId="1044BBDF" w:rsidR="00907589" w:rsidRPr="00E87162" w:rsidRDefault="00907589" w:rsidP="00381CC6">
      <w:pPr>
        <w:ind w:left="284" w:right="-227"/>
        <w:jc w:val="left"/>
      </w:pPr>
      <w:r>
        <w:t xml:space="preserve">At times Trustees may be asked to undertake some training </w:t>
      </w:r>
      <w:proofErr w:type="spellStart"/>
      <w:proofErr w:type="gramStart"/>
      <w:r>
        <w:t>eg</w:t>
      </w:r>
      <w:proofErr w:type="spellEnd"/>
      <w:proofErr w:type="gramEnd"/>
      <w:r>
        <w:t xml:space="preserve"> in safeguarding, cyber security or charity commission training and updates.</w:t>
      </w:r>
    </w:p>
    <w:p w14:paraId="6D8B8B8F" w14:textId="77777777" w:rsidR="00452FBE" w:rsidRPr="00E87162" w:rsidRDefault="00452FBE" w:rsidP="00381CC6">
      <w:pPr>
        <w:pStyle w:val="Heading2"/>
        <w:ind w:left="284" w:right="-227"/>
        <w:jc w:val="left"/>
      </w:pPr>
      <w:bookmarkStart w:id="13" w:name="_Toc142919654"/>
      <w:r w:rsidRPr="00E87162">
        <w:lastRenderedPageBreak/>
        <w:t>Remuneration and Tenure</w:t>
      </w:r>
      <w:bookmarkEnd w:id="13"/>
    </w:p>
    <w:p w14:paraId="1D75D21B" w14:textId="77777777" w:rsidR="00452FBE" w:rsidRPr="00E87162" w:rsidRDefault="00452FBE" w:rsidP="00381CC6">
      <w:pPr>
        <w:ind w:left="284" w:right="-227"/>
        <w:jc w:val="left"/>
      </w:pPr>
      <w:r w:rsidRPr="00E87162">
        <w:t>The position of trustee is unremunerated.  Reasonable expenses will be paid for any expenditure incurred on the Trust’s business, including travel to and from meetings.</w:t>
      </w:r>
    </w:p>
    <w:p w14:paraId="3954F8B5" w14:textId="77777777" w:rsidR="00452FBE" w:rsidRPr="00E87162" w:rsidRDefault="00452FBE" w:rsidP="00381CC6">
      <w:pPr>
        <w:ind w:left="284" w:right="-227"/>
        <w:jc w:val="left"/>
      </w:pPr>
      <w:r w:rsidRPr="00E87162">
        <w:t>The initial appointment will be for a term of three years, with potential for renewal for a further three years.</w:t>
      </w:r>
    </w:p>
    <w:p w14:paraId="2E2E88BD" w14:textId="77777777" w:rsidR="00452FBE" w:rsidRPr="00E87162" w:rsidRDefault="00452FBE" w:rsidP="00381CC6">
      <w:pPr>
        <w:pStyle w:val="Heading2"/>
        <w:ind w:left="284" w:right="-227"/>
        <w:jc w:val="left"/>
      </w:pPr>
      <w:bookmarkStart w:id="14" w:name="_Toc142919655"/>
      <w:r w:rsidRPr="00E87162">
        <w:t>Recruitment Process</w:t>
      </w:r>
      <w:bookmarkEnd w:id="14"/>
    </w:p>
    <w:p w14:paraId="34EE6B2C" w14:textId="5C72D41D" w:rsidR="00452FBE" w:rsidRPr="00E87162" w:rsidRDefault="00044BEA" w:rsidP="00044BEA">
      <w:pPr>
        <w:ind w:left="284" w:right="-227"/>
        <w:jc w:val="left"/>
      </w:pPr>
      <w:r>
        <w:t xml:space="preserve">During </w:t>
      </w:r>
      <w:r w:rsidR="00307848">
        <w:t>October</w:t>
      </w:r>
      <w:r>
        <w:t>, t</w:t>
      </w:r>
      <w:r w:rsidR="00452FBE" w:rsidRPr="00E87162">
        <w:t xml:space="preserve">he Trust is advertising </w:t>
      </w:r>
      <w:r w:rsidRPr="00044BEA">
        <w:t xml:space="preserve">in a broad range of media in a </w:t>
      </w:r>
      <w:r>
        <w:t>desire</w:t>
      </w:r>
      <w:r w:rsidRPr="00044BEA">
        <w:t xml:space="preserve"> to attract a diverse range of interest.</w:t>
      </w:r>
    </w:p>
    <w:p w14:paraId="7AC37044" w14:textId="77777777" w:rsidR="00075199" w:rsidRDefault="00452FBE" w:rsidP="00381CC6">
      <w:pPr>
        <w:ind w:left="284" w:right="-227"/>
        <w:jc w:val="left"/>
      </w:pPr>
      <w:r w:rsidRPr="00075199">
        <w:rPr>
          <w:b/>
        </w:rPr>
        <w:t>Interested individuals are asked to submit</w:t>
      </w:r>
      <w:r w:rsidR="001F47BE" w:rsidRPr="00075199">
        <w:rPr>
          <w:b/>
        </w:rPr>
        <w:t>,</w:t>
      </w:r>
      <w:r w:rsidRPr="00075199">
        <w:rPr>
          <w:b/>
        </w:rPr>
        <w:t xml:space="preserve"> </w:t>
      </w:r>
      <w:r w:rsidR="001F47BE" w:rsidRPr="00075199">
        <w:rPr>
          <w:b/>
        </w:rPr>
        <w:t xml:space="preserve">by email to the Trust Chair, Alan </w:t>
      </w:r>
      <w:proofErr w:type="spellStart"/>
      <w:r w:rsidR="001F47BE" w:rsidRPr="00075199">
        <w:rPr>
          <w:b/>
        </w:rPr>
        <w:t>Behagg</w:t>
      </w:r>
      <w:proofErr w:type="spellEnd"/>
      <w:r w:rsidR="001F47BE" w:rsidRPr="00075199">
        <w:rPr>
          <w:b/>
        </w:rPr>
        <w:t xml:space="preserve">, </w:t>
      </w:r>
      <w:r w:rsidRPr="00075199">
        <w:rPr>
          <w:b/>
        </w:rPr>
        <w:t>a CV with a covering letter explaining why they wish to be a trustee and how they consider they might contrib</w:t>
      </w:r>
      <w:r w:rsidR="00B41194" w:rsidRPr="00075199">
        <w:rPr>
          <w:b/>
        </w:rPr>
        <w:t>ute to the work of the Trust</w:t>
      </w:r>
      <w:r w:rsidR="001F47BE">
        <w:t xml:space="preserve">. </w:t>
      </w:r>
    </w:p>
    <w:p w14:paraId="09F7AF08" w14:textId="4A3C014C" w:rsidR="00B41194" w:rsidRDefault="001F47BE" w:rsidP="00381CC6">
      <w:pPr>
        <w:ind w:left="284" w:right="-227"/>
        <w:jc w:val="left"/>
      </w:pPr>
      <w:r>
        <w:t xml:space="preserve">The email address for applications is </w:t>
      </w:r>
      <w:r w:rsidR="00B41194">
        <w:t xml:space="preserve"> </w:t>
      </w:r>
      <w:hyperlink r:id="rId15" w:history="1">
        <w:r w:rsidR="00044BEA" w:rsidRPr="00F26D32">
          <w:rPr>
            <w:rStyle w:val="Hyperlink"/>
          </w:rPr>
          <w:t>admin@armedforceseducation.org</w:t>
        </w:r>
      </w:hyperlink>
    </w:p>
    <w:p w14:paraId="5A6B89B1" w14:textId="0DD98BCE" w:rsidR="00452FBE" w:rsidRPr="00E87162" w:rsidRDefault="00044BEA" w:rsidP="001F47BE">
      <w:pPr>
        <w:ind w:left="284" w:right="-227"/>
        <w:jc w:val="left"/>
      </w:pPr>
      <w:r>
        <w:t xml:space="preserve">The deadline for applications is </w:t>
      </w:r>
      <w:r w:rsidR="00015B21">
        <w:rPr>
          <w:b/>
        </w:rPr>
        <w:t xml:space="preserve">Thursday </w:t>
      </w:r>
      <w:r w:rsidR="00632990">
        <w:rPr>
          <w:b/>
        </w:rPr>
        <w:t>31st</w:t>
      </w:r>
      <w:r w:rsidR="00307848">
        <w:rPr>
          <w:b/>
        </w:rPr>
        <w:t xml:space="preserve"> October 2023</w:t>
      </w:r>
      <w:r>
        <w:t>.</w:t>
      </w:r>
    </w:p>
    <w:p w14:paraId="70204AEA" w14:textId="549E7651" w:rsidR="00381CC6" w:rsidRPr="00075199" w:rsidRDefault="00452FBE" w:rsidP="00381CC6">
      <w:pPr>
        <w:ind w:left="284" w:right="-227"/>
        <w:jc w:val="left"/>
        <w:rPr>
          <w:b/>
        </w:rPr>
      </w:pPr>
      <w:r w:rsidRPr="00075199">
        <w:rPr>
          <w:b/>
        </w:rPr>
        <w:t>Interviews will be held</w:t>
      </w:r>
      <w:r w:rsidR="009731C5">
        <w:rPr>
          <w:b/>
        </w:rPr>
        <w:t>, in person,</w:t>
      </w:r>
      <w:r w:rsidRPr="00075199">
        <w:rPr>
          <w:b/>
        </w:rPr>
        <w:t xml:space="preserve"> </w:t>
      </w:r>
      <w:r w:rsidR="00307848">
        <w:rPr>
          <w:b/>
        </w:rPr>
        <w:t>at the Union Jack Club</w:t>
      </w:r>
      <w:r w:rsidR="00BA647B">
        <w:rPr>
          <w:b/>
        </w:rPr>
        <w:t xml:space="preserve"> in London</w:t>
      </w:r>
      <w:r w:rsidRPr="00075199">
        <w:rPr>
          <w:b/>
        </w:rPr>
        <w:t xml:space="preserve"> on </w:t>
      </w:r>
      <w:r w:rsidR="00144D33">
        <w:rPr>
          <w:b/>
        </w:rPr>
        <w:t xml:space="preserve">the </w:t>
      </w:r>
      <w:r w:rsidR="00BA647B">
        <w:rPr>
          <w:b/>
        </w:rPr>
        <w:t>19th</w:t>
      </w:r>
      <w:r w:rsidR="00307848">
        <w:rPr>
          <w:b/>
        </w:rPr>
        <w:t xml:space="preserve"> </w:t>
      </w:r>
      <w:r w:rsidR="00015B21">
        <w:rPr>
          <w:b/>
        </w:rPr>
        <w:t>November</w:t>
      </w:r>
      <w:r w:rsidR="00144D33">
        <w:rPr>
          <w:b/>
        </w:rPr>
        <w:t xml:space="preserve"> </w:t>
      </w:r>
      <w:r w:rsidR="00307848">
        <w:rPr>
          <w:b/>
        </w:rPr>
        <w:t>2023.</w:t>
      </w:r>
    </w:p>
    <w:p w14:paraId="059C79D5" w14:textId="01E07603" w:rsidR="00445D43" w:rsidRPr="00445D43" w:rsidRDefault="00381CC6" w:rsidP="00E45D69">
      <w:pPr>
        <w:ind w:left="284" w:right="-227"/>
        <w:jc w:val="left"/>
      </w:pPr>
      <w:r>
        <w:t>The first board meetings for successful candidates will be</w:t>
      </w:r>
      <w:r w:rsidR="00307848">
        <w:t xml:space="preserve"> </w:t>
      </w:r>
      <w:r w:rsidR="00015B21">
        <w:t>7</w:t>
      </w:r>
      <w:r w:rsidR="00015B21" w:rsidRPr="00015B21">
        <w:rPr>
          <w:vertAlign w:val="superscript"/>
        </w:rPr>
        <w:t>th</w:t>
      </w:r>
      <w:r w:rsidR="00015B21">
        <w:t xml:space="preserve"> </w:t>
      </w:r>
      <w:r w:rsidR="00307848">
        <w:t>December</w:t>
      </w:r>
      <w:r w:rsidR="00144D33">
        <w:t xml:space="preserve"> </w:t>
      </w:r>
      <w:r w:rsidR="00307848">
        <w:t>2023</w:t>
      </w:r>
      <w:r w:rsidR="002D2052">
        <w:t xml:space="preserve">. </w:t>
      </w:r>
      <w:r w:rsidR="00002F34">
        <w:t>Prior to this, successful applicants will be given an induction pack</w:t>
      </w:r>
      <w:r w:rsidR="00BA647B">
        <w:t xml:space="preserve"> so that they can understand more about the Trust before their first Trustee meeting.</w:t>
      </w:r>
    </w:p>
    <w:sectPr w:rsidR="00445D43" w:rsidRPr="00445D43" w:rsidSect="00381CC6">
      <w:headerReference w:type="default" r:id="rId16"/>
      <w:pgSz w:w="11906" w:h="16838"/>
      <w:pgMar w:top="1361"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37D2" w14:textId="77777777" w:rsidR="00601EC0" w:rsidRDefault="00601EC0" w:rsidP="00E87162">
      <w:r>
        <w:separator/>
      </w:r>
    </w:p>
  </w:endnote>
  <w:endnote w:type="continuationSeparator" w:id="0">
    <w:p w14:paraId="3A97EA2F" w14:textId="77777777" w:rsidR="00601EC0" w:rsidRDefault="00601EC0" w:rsidP="00E8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Slab Light">
    <w:panose1 w:val="00000000000000000000"/>
    <w:charset w:val="00"/>
    <w:family w:val="auto"/>
    <w:pitch w:val="variable"/>
    <w:sig w:usb0="000004FF" w:usb1="8000405F" w:usb2="00000022"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401679"/>
      <w:docPartObj>
        <w:docPartGallery w:val="Page Numbers (Bottom of Page)"/>
        <w:docPartUnique/>
      </w:docPartObj>
    </w:sdtPr>
    <w:sdtContent>
      <w:p w14:paraId="491901FA" w14:textId="487A89CD" w:rsidR="003D3FE1" w:rsidRDefault="003D3FE1" w:rsidP="00E666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957386F" w14:textId="77777777" w:rsidR="003D3FE1" w:rsidRDefault="003D3FE1" w:rsidP="003D3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860305"/>
      <w:docPartObj>
        <w:docPartGallery w:val="Page Numbers (Bottom of Page)"/>
        <w:docPartUnique/>
      </w:docPartObj>
    </w:sdtPr>
    <w:sdtContent>
      <w:p w14:paraId="20054C73" w14:textId="091E7868" w:rsidR="003D3FE1" w:rsidRDefault="003D3FE1" w:rsidP="00E666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549D4F" w14:textId="77777777" w:rsidR="003D3FE1" w:rsidRDefault="003D3FE1" w:rsidP="003D3F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D5A2" w14:textId="77777777" w:rsidR="00601EC0" w:rsidRDefault="00601EC0" w:rsidP="00E87162">
      <w:r>
        <w:separator/>
      </w:r>
    </w:p>
  </w:footnote>
  <w:footnote w:type="continuationSeparator" w:id="0">
    <w:p w14:paraId="3679ED79" w14:textId="77777777" w:rsidR="00601EC0" w:rsidRDefault="00601EC0" w:rsidP="00E8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0AB6" w14:textId="17B261EF" w:rsidR="00975CBE" w:rsidRDefault="00975CBE">
    <w:pPr>
      <w:pStyle w:val="Header"/>
    </w:pPr>
    <w:r>
      <w:rPr>
        <w:noProof/>
      </w:rPr>
      <w:drawing>
        <wp:anchor distT="0" distB="0" distL="114300" distR="114300" simplePos="0" relativeHeight="251658240" behindDoc="0" locked="0" layoutInCell="1" allowOverlap="1" wp14:anchorId="40ACA432" wp14:editId="6F0A9709">
          <wp:simplePos x="0" y="0"/>
          <wp:positionH relativeFrom="margin">
            <wp:posOffset>-319042</wp:posOffset>
          </wp:positionH>
          <wp:positionV relativeFrom="margin">
            <wp:posOffset>-821055</wp:posOffset>
          </wp:positionV>
          <wp:extent cx="1668613" cy="6489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ET logo left_300ppi.png"/>
                  <pic:cNvPicPr/>
                </pic:nvPicPr>
                <pic:blipFill>
                  <a:blip r:embed="rId1">
                    <a:extLst>
                      <a:ext uri="{28A0092B-C50C-407E-A947-70E740481C1C}">
                        <a14:useLocalDpi xmlns:a14="http://schemas.microsoft.com/office/drawing/2010/main" val="0"/>
                      </a:ext>
                    </a:extLst>
                  </a:blip>
                  <a:stretch>
                    <a:fillRect/>
                  </a:stretch>
                </pic:blipFill>
                <pic:spPr>
                  <a:xfrm>
                    <a:off x="0" y="0"/>
                    <a:ext cx="1668613" cy="648905"/>
                  </a:xfrm>
                  <a:prstGeom prst="rect">
                    <a:avLst/>
                  </a:prstGeom>
                </pic:spPr>
              </pic:pic>
            </a:graphicData>
          </a:graphic>
        </wp:anchor>
      </w:drawing>
    </w:r>
  </w:p>
  <w:p w14:paraId="22FA6BBD" w14:textId="77777777" w:rsidR="00975CBE" w:rsidRDefault="00975CBE">
    <w:pPr>
      <w:pStyle w:val="Header"/>
    </w:pPr>
  </w:p>
  <w:p w14:paraId="247C5B72" w14:textId="39589E01" w:rsidR="00445D43" w:rsidRDefault="0044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693C" w14:textId="6288B12F" w:rsidR="00381CC6" w:rsidRDefault="00381CC6">
    <w:pPr>
      <w:pStyle w:val="Header"/>
    </w:pPr>
    <w:r>
      <w:rPr>
        <w:noProof/>
      </w:rPr>
      <w:drawing>
        <wp:anchor distT="0" distB="0" distL="114300" distR="114300" simplePos="0" relativeHeight="251660288" behindDoc="0" locked="0" layoutInCell="1" allowOverlap="1" wp14:anchorId="1F93A67D" wp14:editId="02726C2F">
          <wp:simplePos x="0" y="0"/>
          <wp:positionH relativeFrom="margin">
            <wp:posOffset>133078</wp:posOffset>
          </wp:positionH>
          <wp:positionV relativeFrom="margin">
            <wp:posOffset>-859155</wp:posOffset>
          </wp:positionV>
          <wp:extent cx="1668613" cy="6489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ET logo left_300ppi.png"/>
                  <pic:cNvPicPr/>
                </pic:nvPicPr>
                <pic:blipFill>
                  <a:blip r:embed="rId1">
                    <a:extLst>
                      <a:ext uri="{28A0092B-C50C-407E-A947-70E740481C1C}">
                        <a14:useLocalDpi xmlns:a14="http://schemas.microsoft.com/office/drawing/2010/main" val="0"/>
                      </a:ext>
                    </a:extLst>
                  </a:blip>
                  <a:stretch>
                    <a:fillRect/>
                  </a:stretch>
                </pic:blipFill>
                <pic:spPr>
                  <a:xfrm>
                    <a:off x="0" y="0"/>
                    <a:ext cx="1668613" cy="648905"/>
                  </a:xfrm>
                  <a:prstGeom prst="rect">
                    <a:avLst/>
                  </a:prstGeom>
                </pic:spPr>
              </pic:pic>
            </a:graphicData>
          </a:graphic>
        </wp:anchor>
      </w:drawing>
    </w:r>
  </w:p>
  <w:p w14:paraId="3EE0803A" w14:textId="77777777" w:rsidR="00381CC6" w:rsidRDefault="00381CC6">
    <w:pPr>
      <w:pStyle w:val="Header"/>
    </w:pPr>
  </w:p>
  <w:p w14:paraId="3579E003" w14:textId="6330CF2C" w:rsidR="00445D43" w:rsidRDefault="0044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1" w15:restartNumberingAfterBreak="0">
    <w:nsid w:val="0F6F3E5D"/>
    <w:multiLevelType w:val="hybridMultilevel"/>
    <w:tmpl w:val="8558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F7855"/>
    <w:multiLevelType w:val="multilevel"/>
    <w:tmpl w:val="C35E97B2"/>
    <w:lvl w:ilvl="0">
      <w:start w:val="1"/>
      <w:numFmt w:val="upperLetter"/>
      <w:lvlText w:val="%1."/>
      <w:lvlJc w:val="left"/>
      <w:pPr>
        <w:ind w:left="360" w:hanging="360"/>
      </w:pPr>
      <w:rPr>
        <w:rFonts w:asciiTheme="minorHAnsi" w:hAnsiTheme="minorHAnsi" w:hint="default"/>
      </w:rPr>
    </w:lvl>
    <w:lvl w:ilvl="1">
      <w:start w:val="1"/>
      <w:numFmt w:val="bullet"/>
      <w:pStyle w:val="bulletsintable"/>
      <w:lvlText w:val=""/>
      <w:lvlJc w:val="left"/>
      <w:pPr>
        <w:ind w:left="1080" w:hanging="360"/>
      </w:pPr>
      <w:rPr>
        <w:rFonts w:ascii="Symbol" w:hAnsi="Symbol" w:hint="default"/>
      </w:rPr>
    </w:lvl>
    <w:lvl w:ilvl="2">
      <w:start w:val="1"/>
      <w:numFmt w:val="decimal"/>
      <w:lvlText w:val="%2.%3"/>
      <w:lvlJc w:val="right"/>
      <w:pPr>
        <w:ind w:left="1800" w:hanging="18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A7B1581"/>
    <w:multiLevelType w:val="hybridMultilevel"/>
    <w:tmpl w:val="7FAEA3DA"/>
    <w:lvl w:ilvl="0" w:tplc="05BC4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D7925"/>
    <w:multiLevelType w:val="multilevel"/>
    <w:tmpl w:val="1298BDD0"/>
    <w:styleLink w:val="numberedheadings"/>
    <w:lvl w:ilvl="0">
      <w:start w:val="1"/>
      <w:numFmt w:val="upperLetter"/>
      <w:lvlText w:val="%1."/>
      <w:lvlJc w:val="left"/>
      <w:pPr>
        <w:ind w:left="360" w:hanging="360"/>
      </w:pPr>
      <w:rPr>
        <w:rFonts w:asciiTheme="minorHAnsi" w:hAnsiTheme="minorHAnsi"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1EB6128"/>
    <w:multiLevelType w:val="hybridMultilevel"/>
    <w:tmpl w:val="008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92FBD"/>
    <w:multiLevelType w:val="multilevel"/>
    <w:tmpl w:val="5CDA906A"/>
    <w:lvl w:ilvl="0">
      <w:start w:val="1"/>
      <w:numFmt w:val="upperLetter"/>
      <w:pStyle w:val="Heading1"/>
      <w:lvlText w:val="%1."/>
      <w:lvlJc w:val="left"/>
      <w:pPr>
        <w:ind w:left="5464" w:hanging="360"/>
      </w:pPr>
      <w:rPr>
        <w:rFonts w:asciiTheme="minorHAnsi" w:hAnsiTheme="minorHAnsi" w:hint="default"/>
      </w:rPr>
    </w:lvl>
    <w:lvl w:ilvl="1">
      <w:start w:val="1"/>
      <w:numFmt w:val="decimal"/>
      <w:pStyle w:val="Heading2"/>
      <w:lvlText w:val="%2."/>
      <w:lvlJc w:val="left"/>
      <w:pPr>
        <w:ind w:left="1080" w:hanging="360"/>
      </w:pPr>
      <w:rPr>
        <w:rFonts w:hint="default"/>
      </w:rPr>
    </w:lvl>
    <w:lvl w:ilvl="2">
      <w:start w:val="1"/>
      <w:numFmt w:val="decimal"/>
      <w:pStyle w:val="Heading3"/>
      <w:lvlText w:val="%2.%3"/>
      <w:lvlJc w:val="right"/>
      <w:pPr>
        <w:ind w:left="1800" w:hanging="180"/>
      </w:pPr>
      <w:rPr>
        <w:rFonts w:hint="default"/>
      </w:rPr>
    </w:lvl>
    <w:lvl w:ilvl="3">
      <w:start w:val="1"/>
      <w:numFmt w:val="decimal"/>
      <w:pStyle w:val="Heading4"/>
      <w:lvlText w:val="%2.%3.%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42F673A"/>
    <w:multiLevelType w:val="hybridMultilevel"/>
    <w:tmpl w:val="BD389042"/>
    <w:lvl w:ilvl="0" w:tplc="683E70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2069E9"/>
    <w:multiLevelType w:val="hybridMultilevel"/>
    <w:tmpl w:val="9DE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B22D8"/>
    <w:multiLevelType w:val="multilevel"/>
    <w:tmpl w:val="4DA04746"/>
    <w:lvl w:ilvl="0">
      <w:start w:val="1"/>
      <w:numFmt w:val="upperLetter"/>
      <w:lvlText w:val="%1."/>
      <w:lvlJc w:val="left"/>
      <w:pPr>
        <w:ind w:left="360" w:hanging="360"/>
      </w:pPr>
      <w:rPr>
        <w:rFonts w:asciiTheme="minorHAnsi" w:hAnsiTheme="minorHAnsi" w:hint="default"/>
      </w:rPr>
    </w:lvl>
    <w:lvl w:ilvl="1">
      <w:start w:val="1"/>
      <w:numFmt w:val="decimal"/>
      <w:lvlText w:val="%2."/>
      <w:lvlJc w:val="left"/>
      <w:pPr>
        <w:ind w:left="1080" w:hanging="360"/>
      </w:pPr>
      <w:rPr>
        <w:rFonts w:hint="default"/>
      </w:rPr>
    </w:lvl>
    <w:lvl w:ilvl="2">
      <w:start w:val="1"/>
      <w:numFmt w:val="decimal"/>
      <w:lvlText w:val="%2.%3"/>
      <w:lvlJc w:val="right"/>
      <w:pPr>
        <w:ind w:left="1800" w:hanging="180"/>
      </w:pPr>
      <w:rPr>
        <w:rFonts w:hint="default"/>
      </w:rPr>
    </w:lvl>
    <w:lvl w:ilvl="3">
      <w:start w:val="1"/>
      <w:numFmt w:val="bullet"/>
      <w:pStyle w:val="bulletlis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814883">
    <w:abstractNumId w:val="4"/>
  </w:num>
  <w:num w:numId="2" w16cid:durableId="1463881182">
    <w:abstractNumId w:val="6"/>
  </w:num>
  <w:num w:numId="3" w16cid:durableId="1676421538">
    <w:abstractNumId w:val="9"/>
  </w:num>
  <w:num w:numId="4" w16cid:durableId="491916825">
    <w:abstractNumId w:val="2"/>
  </w:num>
  <w:num w:numId="5" w16cid:durableId="405035292">
    <w:abstractNumId w:val="0"/>
  </w:num>
  <w:num w:numId="6" w16cid:durableId="1933195860">
    <w:abstractNumId w:val="8"/>
  </w:num>
  <w:num w:numId="7" w16cid:durableId="1723484390">
    <w:abstractNumId w:val="1"/>
  </w:num>
  <w:num w:numId="8" w16cid:durableId="744767401">
    <w:abstractNumId w:val="5"/>
  </w:num>
  <w:num w:numId="9" w16cid:durableId="702828632">
    <w:abstractNumId w:val="7"/>
  </w:num>
  <w:num w:numId="10" w16cid:durableId="1519004815">
    <w:abstractNumId w:val="3"/>
  </w:num>
  <w:num w:numId="11" w16cid:durableId="387995826">
    <w:abstractNumId w:val="10"/>
  </w:num>
  <w:num w:numId="12" w16cid:durableId="1833636590">
    <w:abstractNumId w:val="9"/>
  </w:num>
  <w:num w:numId="13" w16cid:durableId="1109812967">
    <w:abstractNumId w:val="9"/>
  </w:num>
  <w:num w:numId="14" w16cid:durableId="7261039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90"/>
    <w:rsid w:val="00002F34"/>
    <w:rsid w:val="00010ACD"/>
    <w:rsid w:val="00015B21"/>
    <w:rsid w:val="00043A54"/>
    <w:rsid w:val="00044BEA"/>
    <w:rsid w:val="00044E3A"/>
    <w:rsid w:val="000576AE"/>
    <w:rsid w:val="00067416"/>
    <w:rsid w:val="00075199"/>
    <w:rsid w:val="00091A58"/>
    <w:rsid w:val="0009487A"/>
    <w:rsid w:val="000C170C"/>
    <w:rsid w:val="000F2BAE"/>
    <w:rsid w:val="000F2C39"/>
    <w:rsid w:val="001029DB"/>
    <w:rsid w:val="00134032"/>
    <w:rsid w:val="00144D33"/>
    <w:rsid w:val="00197563"/>
    <w:rsid w:val="001A2367"/>
    <w:rsid w:val="001D0FEB"/>
    <w:rsid w:val="001D1545"/>
    <w:rsid w:val="001E60BA"/>
    <w:rsid w:val="001F47BE"/>
    <w:rsid w:val="002025DC"/>
    <w:rsid w:val="00204F43"/>
    <w:rsid w:val="00222288"/>
    <w:rsid w:val="00245F37"/>
    <w:rsid w:val="0025407E"/>
    <w:rsid w:val="0026700D"/>
    <w:rsid w:val="00270983"/>
    <w:rsid w:val="00284D28"/>
    <w:rsid w:val="002B30FB"/>
    <w:rsid w:val="002D2052"/>
    <w:rsid w:val="002E4E3D"/>
    <w:rsid w:val="002F2165"/>
    <w:rsid w:val="00307848"/>
    <w:rsid w:val="00313077"/>
    <w:rsid w:val="003132BE"/>
    <w:rsid w:val="00323EBA"/>
    <w:rsid w:val="00340EC4"/>
    <w:rsid w:val="003545A7"/>
    <w:rsid w:val="00354DFC"/>
    <w:rsid w:val="00373367"/>
    <w:rsid w:val="00381427"/>
    <w:rsid w:val="00381CC6"/>
    <w:rsid w:val="00386FB2"/>
    <w:rsid w:val="003D3FE1"/>
    <w:rsid w:val="003E0D62"/>
    <w:rsid w:val="00410373"/>
    <w:rsid w:val="00412F20"/>
    <w:rsid w:val="00445D43"/>
    <w:rsid w:val="00452FBE"/>
    <w:rsid w:val="00461549"/>
    <w:rsid w:val="00463C7E"/>
    <w:rsid w:val="00497E01"/>
    <w:rsid w:val="004D6326"/>
    <w:rsid w:val="004E0258"/>
    <w:rsid w:val="00503309"/>
    <w:rsid w:val="005166B8"/>
    <w:rsid w:val="00520B8D"/>
    <w:rsid w:val="00533E07"/>
    <w:rsid w:val="00583C07"/>
    <w:rsid w:val="00592123"/>
    <w:rsid w:val="005A6E95"/>
    <w:rsid w:val="005A6EA2"/>
    <w:rsid w:val="005B42C8"/>
    <w:rsid w:val="005E66E5"/>
    <w:rsid w:val="005F7628"/>
    <w:rsid w:val="00601EC0"/>
    <w:rsid w:val="00607988"/>
    <w:rsid w:val="00615FD3"/>
    <w:rsid w:val="00632990"/>
    <w:rsid w:val="00646337"/>
    <w:rsid w:val="006533A2"/>
    <w:rsid w:val="006E703D"/>
    <w:rsid w:val="007105A1"/>
    <w:rsid w:val="0071191C"/>
    <w:rsid w:val="007159CF"/>
    <w:rsid w:val="00716D4C"/>
    <w:rsid w:val="007516C8"/>
    <w:rsid w:val="0078007B"/>
    <w:rsid w:val="007A0895"/>
    <w:rsid w:val="007A462B"/>
    <w:rsid w:val="007F4681"/>
    <w:rsid w:val="008003B0"/>
    <w:rsid w:val="008133CB"/>
    <w:rsid w:val="00851EF3"/>
    <w:rsid w:val="00852B49"/>
    <w:rsid w:val="0086034F"/>
    <w:rsid w:val="008657F2"/>
    <w:rsid w:val="00880FB1"/>
    <w:rsid w:val="00882ED6"/>
    <w:rsid w:val="00887C3D"/>
    <w:rsid w:val="0089608A"/>
    <w:rsid w:val="008971DC"/>
    <w:rsid w:val="008A6E5B"/>
    <w:rsid w:val="00907589"/>
    <w:rsid w:val="00915D92"/>
    <w:rsid w:val="00922BD6"/>
    <w:rsid w:val="009378F9"/>
    <w:rsid w:val="00943FCE"/>
    <w:rsid w:val="00960C93"/>
    <w:rsid w:val="009731C5"/>
    <w:rsid w:val="00975CBE"/>
    <w:rsid w:val="00981179"/>
    <w:rsid w:val="009821A6"/>
    <w:rsid w:val="009A2F44"/>
    <w:rsid w:val="009A6CD5"/>
    <w:rsid w:val="009C0C92"/>
    <w:rsid w:val="009C2F85"/>
    <w:rsid w:val="009D4F5E"/>
    <w:rsid w:val="009F4118"/>
    <w:rsid w:val="009F68D4"/>
    <w:rsid w:val="00A022BF"/>
    <w:rsid w:val="00A22216"/>
    <w:rsid w:val="00A371D0"/>
    <w:rsid w:val="00A56D8B"/>
    <w:rsid w:val="00A73925"/>
    <w:rsid w:val="00A82BEC"/>
    <w:rsid w:val="00A94EF6"/>
    <w:rsid w:val="00AE3D9C"/>
    <w:rsid w:val="00B2337C"/>
    <w:rsid w:val="00B302AC"/>
    <w:rsid w:val="00B37190"/>
    <w:rsid w:val="00B37FBB"/>
    <w:rsid w:val="00B41194"/>
    <w:rsid w:val="00B508C9"/>
    <w:rsid w:val="00B60246"/>
    <w:rsid w:val="00B84A73"/>
    <w:rsid w:val="00B97EC1"/>
    <w:rsid w:val="00BA647B"/>
    <w:rsid w:val="00BB4076"/>
    <w:rsid w:val="00BB4DDD"/>
    <w:rsid w:val="00BF6C7A"/>
    <w:rsid w:val="00C21CC9"/>
    <w:rsid w:val="00C27A35"/>
    <w:rsid w:val="00C354C2"/>
    <w:rsid w:val="00C45F60"/>
    <w:rsid w:val="00C8370E"/>
    <w:rsid w:val="00C86B93"/>
    <w:rsid w:val="00C93117"/>
    <w:rsid w:val="00CB5AAB"/>
    <w:rsid w:val="00D1712E"/>
    <w:rsid w:val="00D24869"/>
    <w:rsid w:val="00D2637D"/>
    <w:rsid w:val="00D30431"/>
    <w:rsid w:val="00D635B3"/>
    <w:rsid w:val="00D923E7"/>
    <w:rsid w:val="00D94702"/>
    <w:rsid w:val="00DA083B"/>
    <w:rsid w:val="00DA5C67"/>
    <w:rsid w:val="00DA7DF7"/>
    <w:rsid w:val="00E027AE"/>
    <w:rsid w:val="00E04173"/>
    <w:rsid w:val="00E0710C"/>
    <w:rsid w:val="00E11458"/>
    <w:rsid w:val="00E152B4"/>
    <w:rsid w:val="00E15661"/>
    <w:rsid w:val="00E2042F"/>
    <w:rsid w:val="00E45D69"/>
    <w:rsid w:val="00E64130"/>
    <w:rsid w:val="00E7131F"/>
    <w:rsid w:val="00E87162"/>
    <w:rsid w:val="00EA008C"/>
    <w:rsid w:val="00EA1AC5"/>
    <w:rsid w:val="00EC137A"/>
    <w:rsid w:val="00EC1BAC"/>
    <w:rsid w:val="00EC6A2B"/>
    <w:rsid w:val="00F05583"/>
    <w:rsid w:val="00F546FC"/>
    <w:rsid w:val="00F555A6"/>
    <w:rsid w:val="00FC5170"/>
    <w:rsid w:val="00FD4992"/>
    <w:rsid w:val="00FD7971"/>
    <w:rsid w:val="00FE0471"/>
    <w:rsid w:val="00FF4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05752"/>
  <w15:chartTrackingRefBased/>
  <w15:docId w15:val="{F057E065-BD49-4A9C-9266-F233936A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62"/>
    <w:pPr>
      <w:spacing w:before="120" w:after="180"/>
      <w:ind w:left="737"/>
      <w:jc w:val="both"/>
    </w:pPr>
    <w:rPr>
      <w:rFonts w:ascii="Roboto Slab" w:hAnsi="Roboto Slab"/>
      <w:sz w:val="20"/>
      <w:szCs w:val="20"/>
    </w:rPr>
  </w:style>
  <w:style w:type="paragraph" w:styleId="Heading1">
    <w:name w:val="heading 1"/>
    <w:basedOn w:val="Normal"/>
    <w:next w:val="Heading2"/>
    <w:link w:val="Heading1Char"/>
    <w:uiPriority w:val="9"/>
    <w:qFormat/>
    <w:rsid w:val="001E60BA"/>
    <w:pPr>
      <w:keepNext/>
      <w:keepLines/>
      <w:numPr>
        <w:numId w:val="2"/>
      </w:numPr>
      <w:spacing w:before="240" w:after="0"/>
      <w:ind w:left="1134" w:hanging="425"/>
      <w:outlineLvl w:val="0"/>
    </w:pPr>
    <w:rPr>
      <w:rFonts w:eastAsiaTheme="majorEastAsia" w:cstheme="majorBidi"/>
      <w:caps/>
      <w:sz w:val="32"/>
      <w:szCs w:val="32"/>
    </w:rPr>
  </w:style>
  <w:style w:type="paragraph" w:styleId="Heading2">
    <w:name w:val="heading 2"/>
    <w:basedOn w:val="Normal"/>
    <w:next w:val="Heading3"/>
    <w:link w:val="Heading2Char"/>
    <w:autoRedefine/>
    <w:uiPriority w:val="9"/>
    <w:unhideWhenUsed/>
    <w:qFormat/>
    <w:rsid w:val="00E87162"/>
    <w:pPr>
      <w:keepNext/>
      <w:keepLines/>
      <w:numPr>
        <w:ilvl w:val="1"/>
        <w:numId w:val="2"/>
      </w:numPr>
      <w:spacing w:before="240"/>
      <w:outlineLvl w:val="1"/>
    </w:pPr>
    <w:rPr>
      <w:rFonts w:eastAsiaTheme="majorEastAsia" w:cstheme="minorHAnsi"/>
      <w:b/>
      <w:sz w:val="26"/>
      <w:szCs w:val="26"/>
    </w:rPr>
  </w:style>
  <w:style w:type="paragraph" w:styleId="Heading3">
    <w:name w:val="heading 3"/>
    <w:basedOn w:val="Normal"/>
    <w:next w:val="Heading4"/>
    <w:link w:val="Heading3Char"/>
    <w:uiPriority w:val="9"/>
    <w:unhideWhenUsed/>
    <w:qFormat/>
    <w:rsid w:val="00445D43"/>
    <w:pPr>
      <w:keepNext/>
      <w:widowControl w:val="0"/>
      <w:numPr>
        <w:ilvl w:val="2"/>
        <w:numId w:val="2"/>
      </w:numPr>
      <w:spacing w:after="40"/>
      <w:ind w:left="1134" w:hanging="142"/>
      <w:outlineLvl w:val="2"/>
    </w:pPr>
    <w:rPr>
      <w:rFonts w:eastAsiaTheme="majorEastAsia" w:cstheme="minorHAnsi"/>
      <w:b/>
      <w:sz w:val="24"/>
      <w:szCs w:val="24"/>
    </w:rPr>
  </w:style>
  <w:style w:type="paragraph" w:styleId="Heading4">
    <w:name w:val="heading 4"/>
    <w:basedOn w:val="Normal"/>
    <w:link w:val="Heading4Char"/>
    <w:uiPriority w:val="9"/>
    <w:unhideWhenUsed/>
    <w:qFormat/>
    <w:rsid w:val="00E11458"/>
    <w:pPr>
      <w:numPr>
        <w:ilvl w:val="3"/>
        <w:numId w:val="2"/>
      </w:numPr>
      <w:spacing w:before="40" w:after="0"/>
      <w:ind w:left="1560" w:hanging="851"/>
      <w:outlineLvl w:val="3"/>
    </w:pPr>
    <w:rPr>
      <w:rFonts w:asciiTheme="majorHAnsi" w:eastAsiaTheme="majorEastAsia" w:hAnsiTheme="majorHAnsi" w:cstheme="minorHAns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BA"/>
    <w:rPr>
      <w:rFonts w:eastAsiaTheme="majorEastAsia" w:cstheme="majorBidi"/>
      <w:caps/>
      <w:sz w:val="32"/>
      <w:szCs w:val="32"/>
    </w:rPr>
  </w:style>
  <w:style w:type="character" w:customStyle="1" w:styleId="Heading2Char">
    <w:name w:val="Heading 2 Char"/>
    <w:basedOn w:val="DefaultParagraphFont"/>
    <w:link w:val="Heading2"/>
    <w:uiPriority w:val="9"/>
    <w:rsid w:val="00E87162"/>
    <w:rPr>
      <w:rFonts w:ascii="Roboto Slab" w:eastAsiaTheme="majorEastAsia" w:hAnsi="Roboto Slab" w:cstheme="minorHAnsi"/>
      <w:b/>
      <w:sz w:val="26"/>
      <w:szCs w:val="26"/>
    </w:rPr>
  </w:style>
  <w:style w:type="character" w:customStyle="1" w:styleId="Heading3Char">
    <w:name w:val="Heading 3 Char"/>
    <w:basedOn w:val="DefaultParagraphFont"/>
    <w:link w:val="Heading3"/>
    <w:uiPriority w:val="9"/>
    <w:rsid w:val="00445D43"/>
    <w:rPr>
      <w:rFonts w:ascii="Roboto Slab" w:eastAsiaTheme="majorEastAsia" w:hAnsi="Roboto Slab" w:cstheme="minorHAnsi"/>
      <w:b/>
      <w:sz w:val="24"/>
      <w:szCs w:val="24"/>
    </w:rPr>
  </w:style>
  <w:style w:type="numbering" w:customStyle="1" w:styleId="numberedheadings">
    <w:name w:val="numbered headings"/>
    <w:uiPriority w:val="99"/>
    <w:rsid w:val="00B302AC"/>
    <w:pPr>
      <w:numPr>
        <w:numId w:val="1"/>
      </w:numPr>
    </w:pPr>
  </w:style>
  <w:style w:type="paragraph" w:styleId="ListParagraph">
    <w:name w:val="List Paragraph"/>
    <w:basedOn w:val="Normal"/>
    <w:uiPriority w:val="34"/>
    <w:qFormat/>
    <w:rsid w:val="00497E01"/>
    <w:pPr>
      <w:ind w:left="720"/>
      <w:contextualSpacing/>
    </w:pPr>
  </w:style>
  <w:style w:type="paragraph" w:styleId="Header">
    <w:name w:val="header"/>
    <w:basedOn w:val="Normal"/>
    <w:link w:val="HeaderChar"/>
    <w:uiPriority w:val="99"/>
    <w:unhideWhenUsed/>
    <w:rsid w:val="00B23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37C"/>
  </w:style>
  <w:style w:type="paragraph" w:styleId="Footer">
    <w:name w:val="footer"/>
    <w:basedOn w:val="Normal"/>
    <w:link w:val="FooterChar"/>
    <w:uiPriority w:val="99"/>
    <w:unhideWhenUsed/>
    <w:rsid w:val="00B23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37C"/>
  </w:style>
  <w:style w:type="paragraph" w:styleId="TOCHeading">
    <w:name w:val="TOC Heading"/>
    <w:basedOn w:val="Heading1"/>
    <w:next w:val="Normal"/>
    <w:uiPriority w:val="39"/>
    <w:unhideWhenUsed/>
    <w:qFormat/>
    <w:rsid w:val="00B2337C"/>
    <w:pPr>
      <w:numPr>
        <w:numId w:val="0"/>
      </w:num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B2337C"/>
    <w:pPr>
      <w:spacing w:after="100"/>
    </w:pPr>
  </w:style>
  <w:style w:type="paragraph" w:styleId="TOC2">
    <w:name w:val="toc 2"/>
    <w:basedOn w:val="Normal"/>
    <w:next w:val="Normal"/>
    <w:autoRedefine/>
    <w:uiPriority w:val="39"/>
    <w:unhideWhenUsed/>
    <w:rsid w:val="00B2337C"/>
    <w:pPr>
      <w:spacing w:after="100"/>
      <w:ind w:left="220"/>
    </w:pPr>
  </w:style>
  <w:style w:type="paragraph" w:styleId="TOC3">
    <w:name w:val="toc 3"/>
    <w:basedOn w:val="Normal"/>
    <w:next w:val="Normal"/>
    <w:autoRedefine/>
    <w:uiPriority w:val="39"/>
    <w:unhideWhenUsed/>
    <w:rsid w:val="00B2337C"/>
    <w:pPr>
      <w:spacing w:after="100"/>
      <w:ind w:left="440"/>
    </w:pPr>
  </w:style>
  <w:style w:type="character" w:styleId="Hyperlink">
    <w:name w:val="Hyperlink"/>
    <w:basedOn w:val="DefaultParagraphFont"/>
    <w:uiPriority w:val="99"/>
    <w:unhideWhenUsed/>
    <w:rsid w:val="00B2337C"/>
    <w:rPr>
      <w:color w:val="0563C1" w:themeColor="hyperlink"/>
      <w:u w:val="single"/>
    </w:rPr>
  </w:style>
  <w:style w:type="character" w:customStyle="1" w:styleId="Heading4Char">
    <w:name w:val="Heading 4 Char"/>
    <w:basedOn w:val="DefaultParagraphFont"/>
    <w:link w:val="Heading4"/>
    <w:uiPriority w:val="9"/>
    <w:rsid w:val="00E11458"/>
    <w:rPr>
      <w:rFonts w:asciiTheme="majorHAnsi" w:eastAsiaTheme="majorEastAsia" w:hAnsiTheme="majorHAnsi" w:cstheme="minorHAnsi"/>
      <w:iCs/>
    </w:rPr>
  </w:style>
  <w:style w:type="table" w:styleId="TableGrid">
    <w:name w:val="Table Grid"/>
    <w:basedOn w:val="TableNormal"/>
    <w:uiPriority w:val="39"/>
    <w:rsid w:val="00A56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70E"/>
    <w:pPr>
      <w:autoSpaceDE w:val="0"/>
      <w:autoSpaceDN w:val="0"/>
      <w:adjustRightInd w:val="0"/>
      <w:spacing w:after="0" w:line="240" w:lineRule="auto"/>
    </w:pPr>
    <w:rPr>
      <w:rFonts w:ascii="Verdana" w:hAnsi="Verdana" w:cs="Verdana"/>
      <w:color w:val="000000"/>
      <w:sz w:val="24"/>
      <w:szCs w:val="24"/>
    </w:rPr>
  </w:style>
  <w:style w:type="paragraph" w:customStyle="1" w:styleId="bulletlist">
    <w:name w:val="bullet list"/>
    <w:basedOn w:val="Heading4"/>
    <w:link w:val="bulletlistChar"/>
    <w:qFormat/>
    <w:rsid w:val="00204F43"/>
    <w:pPr>
      <w:numPr>
        <w:numId w:val="3"/>
      </w:numPr>
    </w:pPr>
    <w:rPr>
      <w:rFonts w:ascii="Roboto Slab Light" w:hAnsi="Roboto Slab Light"/>
    </w:rPr>
  </w:style>
  <w:style w:type="paragraph" w:customStyle="1" w:styleId="bulletsintable">
    <w:name w:val="bullets in table"/>
    <w:basedOn w:val="bulletlist"/>
    <w:qFormat/>
    <w:rsid w:val="00915D92"/>
    <w:pPr>
      <w:numPr>
        <w:ilvl w:val="1"/>
        <w:numId w:val="4"/>
      </w:numPr>
      <w:spacing w:line="240" w:lineRule="auto"/>
      <w:ind w:left="459" w:hanging="459"/>
      <w:outlineLvl w:val="9"/>
    </w:pPr>
    <w:rPr>
      <w:i/>
    </w:rPr>
  </w:style>
  <w:style w:type="character" w:customStyle="1" w:styleId="bulletlistChar">
    <w:name w:val="bullet list Char"/>
    <w:basedOn w:val="Heading4Char"/>
    <w:link w:val="bulletlist"/>
    <w:rsid w:val="00204F43"/>
    <w:rPr>
      <w:rFonts w:ascii="Roboto Slab Light" w:eastAsiaTheme="majorEastAsia" w:hAnsi="Roboto Slab Light" w:cstheme="minorHAnsi"/>
      <w:iCs/>
      <w:sz w:val="20"/>
      <w:szCs w:val="20"/>
    </w:rPr>
  </w:style>
  <w:style w:type="paragraph" w:styleId="FootnoteText">
    <w:name w:val="footnote text"/>
    <w:basedOn w:val="Normal"/>
    <w:link w:val="FootnoteTextChar"/>
    <w:semiHidden/>
    <w:rsid w:val="00E64130"/>
    <w:pPr>
      <w:spacing w:before="0" w:after="0" w:line="240" w:lineRule="auto"/>
      <w:ind w:left="0"/>
    </w:pPr>
    <w:rPr>
      <w:rFonts w:ascii="Arial" w:eastAsia="Times New Roman" w:hAnsi="Arial" w:cs="Times New Roman"/>
      <w:sz w:val="16"/>
      <w:lang w:eastAsia="en-GB"/>
    </w:rPr>
  </w:style>
  <w:style w:type="character" w:customStyle="1" w:styleId="FootnoteTextChar">
    <w:name w:val="Footnote Text Char"/>
    <w:basedOn w:val="DefaultParagraphFont"/>
    <w:link w:val="FootnoteText"/>
    <w:semiHidden/>
    <w:rsid w:val="00E64130"/>
    <w:rPr>
      <w:rFonts w:ascii="Arial" w:eastAsia="Times New Roman" w:hAnsi="Arial" w:cs="Times New Roman"/>
      <w:sz w:val="16"/>
      <w:szCs w:val="20"/>
      <w:lang w:eastAsia="en-GB"/>
    </w:rPr>
  </w:style>
  <w:style w:type="paragraph" w:styleId="ListNumber">
    <w:name w:val="List Number"/>
    <w:basedOn w:val="Normal"/>
    <w:uiPriority w:val="2"/>
    <w:semiHidden/>
    <w:qFormat/>
    <w:rsid w:val="00E64130"/>
    <w:pPr>
      <w:numPr>
        <w:numId w:val="5"/>
      </w:numPr>
      <w:spacing w:before="0" w:after="0" w:line="240" w:lineRule="auto"/>
    </w:pPr>
    <w:rPr>
      <w:rFonts w:ascii="Arial" w:eastAsia="Times New Roman" w:hAnsi="Arial" w:cs="Times New Roman"/>
      <w:sz w:val="24"/>
      <w:szCs w:val="24"/>
      <w:lang w:eastAsia="en-GB"/>
    </w:rPr>
  </w:style>
  <w:style w:type="character" w:styleId="FootnoteReference">
    <w:name w:val="footnote reference"/>
    <w:semiHidden/>
    <w:rsid w:val="00E64130"/>
    <w:rPr>
      <w:vertAlign w:val="superscript"/>
    </w:rPr>
  </w:style>
  <w:style w:type="character" w:styleId="FollowedHyperlink">
    <w:name w:val="FollowedHyperlink"/>
    <w:basedOn w:val="DefaultParagraphFont"/>
    <w:uiPriority w:val="99"/>
    <w:semiHidden/>
    <w:unhideWhenUsed/>
    <w:rsid w:val="00D1712E"/>
    <w:rPr>
      <w:color w:val="954F72" w:themeColor="followedHyperlink"/>
      <w:u w:val="single"/>
    </w:rPr>
  </w:style>
  <w:style w:type="character" w:styleId="UnresolvedMention">
    <w:name w:val="Unresolved Mention"/>
    <w:basedOn w:val="DefaultParagraphFont"/>
    <w:uiPriority w:val="99"/>
    <w:semiHidden/>
    <w:unhideWhenUsed/>
    <w:rsid w:val="00381CC6"/>
    <w:rPr>
      <w:color w:val="605E5C"/>
      <w:shd w:val="clear" w:color="auto" w:fill="E1DFDD"/>
    </w:rPr>
  </w:style>
  <w:style w:type="character" w:customStyle="1" w:styleId="apple-converted-space">
    <w:name w:val="apple-converted-space"/>
    <w:basedOn w:val="DefaultParagraphFont"/>
    <w:rsid w:val="00044BEA"/>
  </w:style>
  <w:style w:type="paragraph" w:styleId="BalloonText">
    <w:name w:val="Balloon Text"/>
    <w:basedOn w:val="Normal"/>
    <w:link w:val="BalloonTextChar"/>
    <w:uiPriority w:val="99"/>
    <w:semiHidden/>
    <w:unhideWhenUsed/>
    <w:rsid w:val="008971D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71DC"/>
    <w:rPr>
      <w:rFonts w:ascii="Times New Roman" w:hAnsi="Times New Roman" w:cs="Times New Roman"/>
      <w:sz w:val="18"/>
      <w:szCs w:val="18"/>
    </w:rPr>
  </w:style>
  <w:style w:type="character" w:styleId="PageNumber">
    <w:name w:val="page number"/>
    <w:basedOn w:val="DefaultParagraphFont"/>
    <w:uiPriority w:val="99"/>
    <w:semiHidden/>
    <w:unhideWhenUsed/>
    <w:rsid w:val="003D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918">
      <w:bodyDiv w:val="1"/>
      <w:marLeft w:val="0"/>
      <w:marRight w:val="0"/>
      <w:marTop w:val="0"/>
      <w:marBottom w:val="0"/>
      <w:divBdr>
        <w:top w:val="none" w:sz="0" w:space="0" w:color="auto"/>
        <w:left w:val="none" w:sz="0" w:space="0" w:color="auto"/>
        <w:bottom w:val="none" w:sz="0" w:space="0" w:color="auto"/>
        <w:right w:val="none" w:sz="0" w:space="0" w:color="auto"/>
      </w:divBdr>
    </w:div>
    <w:div w:id="529685292">
      <w:bodyDiv w:val="1"/>
      <w:marLeft w:val="0"/>
      <w:marRight w:val="0"/>
      <w:marTop w:val="0"/>
      <w:marBottom w:val="0"/>
      <w:divBdr>
        <w:top w:val="none" w:sz="0" w:space="0" w:color="auto"/>
        <w:left w:val="none" w:sz="0" w:space="0" w:color="auto"/>
        <w:bottom w:val="none" w:sz="0" w:space="0" w:color="auto"/>
        <w:right w:val="none" w:sz="0" w:space="0" w:color="auto"/>
      </w:divBdr>
    </w:div>
    <w:div w:id="555435818">
      <w:bodyDiv w:val="1"/>
      <w:marLeft w:val="0"/>
      <w:marRight w:val="0"/>
      <w:marTop w:val="0"/>
      <w:marBottom w:val="0"/>
      <w:divBdr>
        <w:top w:val="none" w:sz="0" w:space="0" w:color="auto"/>
        <w:left w:val="none" w:sz="0" w:space="0" w:color="auto"/>
        <w:bottom w:val="none" w:sz="0" w:space="0" w:color="auto"/>
        <w:right w:val="none" w:sz="0" w:space="0" w:color="auto"/>
      </w:divBdr>
    </w:div>
    <w:div w:id="670526729">
      <w:bodyDiv w:val="1"/>
      <w:marLeft w:val="0"/>
      <w:marRight w:val="0"/>
      <w:marTop w:val="0"/>
      <w:marBottom w:val="0"/>
      <w:divBdr>
        <w:top w:val="none" w:sz="0" w:space="0" w:color="auto"/>
        <w:left w:val="none" w:sz="0" w:space="0" w:color="auto"/>
        <w:bottom w:val="none" w:sz="0" w:space="0" w:color="auto"/>
        <w:right w:val="none" w:sz="0" w:space="0" w:color="auto"/>
      </w:divBdr>
    </w:div>
    <w:div w:id="689529823">
      <w:bodyDiv w:val="1"/>
      <w:marLeft w:val="0"/>
      <w:marRight w:val="0"/>
      <w:marTop w:val="0"/>
      <w:marBottom w:val="0"/>
      <w:divBdr>
        <w:top w:val="none" w:sz="0" w:space="0" w:color="auto"/>
        <w:left w:val="none" w:sz="0" w:space="0" w:color="auto"/>
        <w:bottom w:val="none" w:sz="0" w:space="0" w:color="auto"/>
        <w:right w:val="none" w:sz="0" w:space="0" w:color="auto"/>
      </w:divBdr>
    </w:div>
    <w:div w:id="1326862599">
      <w:bodyDiv w:val="1"/>
      <w:marLeft w:val="0"/>
      <w:marRight w:val="0"/>
      <w:marTop w:val="0"/>
      <w:marBottom w:val="0"/>
      <w:divBdr>
        <w:top w:val="none" w:sz="0" w:space="0" w:color="auto"/>
        <w:left w:val="none" w:sz="0" w:space="0" w:color="auto"/>
        <w:bottom w:val="none" w:sz="0" w:space="0" w:color="auto"/>
        <w:right w:val="none" w:sz="0" w:space="0" w:color="auto"/>
      </w:divBdr>
    </w:div>
    <w:div w:id="1556044202">
      <w:bodyDiv w:val="1"/>
      <w:marLeft w:val="0"/>
      <w:marRight w:val="0"/>
      <w:marTop w:val="0"/>
      <w:marBottom w:val="0"/>
      <w:divBdr>
        <w:top w:val="none" w:sz="0" w:space="0" w:color="auto"/>
        <w:left w:val="none" w:sz="0" w:space="0" w:color="auto"/>
        <w:bottom w:val="none" w:sz="0" w:space="0" w:color="auto"/>
        <w:right w:val="none" w:sz="0" w:space="0" w:color="auto"/>
      </w:divBdr>
    </w:div>
    <w:div w:id="1825662778">
      <w:bodyDiv w:val="1"/>
      <w:marLeft w:val="0"/>
      <w:marRight w:val="0"/>
      <w:marTop w:val="0"/>
      <w:marBottom w:val="0"/>
      <w:divBdr>
        <w:top w:val="none" w:sz="0" w:space="0" w:color="auto"/>
        <w:left w:val="none" w:sz="0" w:space="0" w:color="auto"/>
        <w:bottom w:val="none" w:sz="0" w:space="0" w:color="auto"/>
        <w:right w:val="none" w:sz="0" w:space="0" w:color="auto"/>
      </w:divBdr>
    </w:div>
    <w:div w:id="18769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544220/Jigsaw.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he-essential-trustee-what-you-need-to-know-cc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dmin@armedforceseducation.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charity-trustee-welcome-pack/charity-trustee-welcome-pa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8DA2-DE9F-EF47-898E-08D6D6CA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Trust CEO</cp:lastModifiedBy>
  <cp:revision>4</cp:revision>
  <cp:lastPrinted>2021-01-29T12:20:00Z</cp:lastPrinted>
  <dcterms:created xsi:type="dcterms:W3CDTF">2023-09-18T15:31:00Z</dcterms:created>
  <dcterms:modified xsi:type="dcterms:W3CDTF">2023-10-02T09:54:00Z</dcterms:modified>
  <cp:category/>
</cp:coreProperties>
</file>